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color w:val="000000"/>
          <w:sz w:val="44"/>
          <w:szCs w:val="44"/>
          <w:lang w:bidi="ar"/>
        </w:rPr>
      </w:pPr>
    </w:p>
    <w:p>
      <w:pPr>
        <w:spacing w:line="640" w:lineRule="exact"/>
        <w:jc w:val="center"/>
        <w:rPr>
          <w:rFonts w:hint="eastAsia" w:ascii="方正小标宋简体" w:hAnsi="方正小标宋简体" w:eastAsia="方正小标宋简体" w:cs="方正小标宋简体"/>
          <w:color w:val="000000"/>
          <w:sz w:val="44"/>
          <w:szCs w:val="44"/>
          <w:lang w:bidi="ar"/>
        </w:rPr>
      </w:pPr>
    </w:p>
    <w:p>
      <w:pPr>
        <w:spacing w:line="640" w:lineRule="exact"/>
        <w:jc w:val="center"/>
        <w:rPr>
          <w:rFonts w:hint="eastAsia" w:ascii="方正小标宋简体" w:hAnsi="方正小标宋简体" w:eastAsia="方正小标宋简体" w:cs="方正小标宋简体"/>
          <w:color w:val="000000"/>
          <w:sz w:val="44"/>
          <w:szCs w:val="44"/>
          <w:lang w:bidi="ar"/>
        </w:rPr>
      </w:pPr>
    </w:p>
    <w:p>
      <w:pPr>
        <w:spacing w:line="640" w:lineRule="exact"/>
        <w:jc w:val="center"/>
        <w:rPr>
          <w:rFonts w:hint="eastAsia" w:ascii="方正小标宋简体" w:hAnsi="方正小标宋简体" w:eastAsia="方正小标宋简体" w:cs="方正小标宋简体"/>
          <w:color w:val="000000"/>
          <w:sz w:val="44"/>
          <w:szCs w:val="44"/>
          <w:lang w:bidi="ar"/>
        </w:rPr>
      </w:pPr>
    </w:p>
    <w:p>
      <w:pPr>
        <w:spacing w:line="6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bidi="ar"/>
        </w:rPr>
        <w:t>关于印发《山东开放大学</w:t>
      </w:r>
      <w:r>
        <w:rPr>
          <w:rFonts w:hint="eastAsia" w:ascii="方正小标宋简体" w:hAnsi="方正小标宋简体" w:eastAsia="方正小标宋简体" w:cs="方正小标宋简体"/>
          <w:color w:val="000000"/>
          <w:sz w:val="44"/>
          <w:szCs w:val="44"/>
          <w:lang w:val="en-US" w:eastAsia="zh-CN" w:bidi="ar"/>
        </w:rPr>
        <w:t>关于</w:t>
      </w:r>
      <w:r>
        <w:rPr>
          <w:rFonts w:hint="eastAsia" w:ascii="方正小标宋简体" w:hAnsi="方正小标宋简体" w:eastAsia="方正小标宋简体" w:cs="方正小标宋简体"/>
          <w:color w:val="000000"/>
          <w:sz w:val="44"/>
          <w:szCs w:val="44"/>
          <w:lang w:bidi="ar"/>
        </w:rPr>
        <w:t>整治开放教育试卷安全保密管理工作</w:t>
      </w:r>
      <w:r>
        <w:rPr>
          <w:rFonts w:hint="eastAsia" w:ascii="方正小标宋简体" w:hAnsi="方正小标宋简体" w:eastAsia="方正小标宋简体" w:cs="方正小标宋简体"/>
          <w:color w:val="000000"/>
          <w:sz w:val="44"/>
          <w:szCs w:val="44"/>
          <w:lang w:val="en-US" w:eastAsia="zh-CN" w:bidi="ar"/>
        </w:rPr>
        <w:t>的</w:t>
      </w:r>
      <w:r>
        <w:rPr>
          <w:rFonts w:hint="eastAsia" w:ascii="方正小标宋简体" w:hAnsi="方正小标宋简体" w:eastAsia="方正小标宋简体" w:cs="方正小标宋简体"/>
          <w:color w:val="000000"/>
          <w:sz w:val="44"/>
          <w:szCs w:val="44"/>
          <w:lang w:bidi="ar"/>
        </w:rPr>
        <w:t>实施方案》的通知</w:t>
      </w:r>
    </w:p>
    <w:p>
      <w:pPr>
        <w:spacing w:line="560" w:lineRule="exact"/>
        <w:ind w:firstLine="631"/>
        <w:rPr>
          <w:rFonts w:hint="eastAsia"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 xml:space="preserve"> </w:t>
      </w:r>
    </w:p>
    <w:p>
      <w:pPr>
        <w:spacing w:line="560" w:lineRule="exact"/>
        <w:ind w:firstLine="631"/>
        <w:jc w:val="right"/>
        <w:rPr>
          <w:rFonts w:hint="eastAsia"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鲁开大教务函〔2023〕</w:t>
      </w:r>
      <w:r>
        <w:rPr>
          <w:rFonts w:hint="eastAsia" w:ascii="仿宋_GB2312" w:eastAsia="仿宋_GB2312" w:cs="仿宋_GB2312"/>
          <w:color w:val="000000"/>
          <w:sz w:val="32"/>
          <w:szCs w:val="32"/>
          <w:lang w:val="en-US" w:eastAsia="zh-CN" w:bidi="ar"/>
        </w:rPr>
        <w:t>101</w:t>
      </w:r>
      <w:r>
        <w:rPr>
          <w:rFonts w:hint="eastAsia" w:ascii="仿宋_GB2312" w:eastAsia="仿宋_GB2312" w:cs="仿宋_GB2312"/>
          <w:color w:val="000000"/>
          <w:sz w:val="32"/>
          <w:szCs w:val="32"/>
          <w:lang w:bidi="ar"/>
        </w:rPr>
        <w:t>号</w:t>
      </w:r>
    </w:p>
    <w:p>
      <w:pPr>
        <w:spacing w:line="580" w:lineRule="exact"/>
        <w:rPr>
          <w:rFonts w:ascii="仿宋_GB2312" w:eastAsia="仿宋_GB2312" w:cs="仿宋_GB2312"/>
          <w:color w:val="000000"/>
          <w:sz w:val="32"/>
          <w:szCs w:val="32"/>
        </w:rPr>
      </w:pPr>
      <w:r>
        <w:rPr>
          <w:rFonts w:hint="eastAsia" w:ascii="仿宋_GB2312" w:eastAsia="仿宋_GB2312" w:cs="仿宋_GB2312"/>
          <w:color w:val="000000"/>
          <w:sz w:val="32"/>
          <w:szCs w:val="32"/>
          <w:lang w:bidi="ar"/>
        </w:rPr>
        <w:t>各市（直管县）开大（电大）、学习中心：</w:t>
      </w:r>
    </w:p>
    <w:p>
      <w:pPr>
        <w:spacing w:line="580" w:lineRule="exact"/>
        <w:rPr>
          <w:rFonts w:hint="eastAsia"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 xml:space="preserve">    现将《山东开放大学</w:t>
      </w:r>
      <w:r>
        <w:rPr>
          <w:rFonts w:hint="eastAsia" w:ascii="仿宋_GB2312" w:eastAsia="仿宋_GB2312" w:cs="仿宋_GB2312"/>
          <w:color w:val="000000"/>
          <w:sz w:val="32"/>
          <w:szCs w:val="32"/>
          <w:lang w:val="en-US" w:eastAsia="zh-CN" w:bidi="ar"/>
        </w:rPr>
        <w:t>关于</w:t>
      </w:r>
      <w:r>
        <w:rPr>
          <w:rFonts w:hint="eastAsia" w:ascii="仿宋_GB2312" w:eastAsia="仿宋_GB2312" w:cs="仿宋_GB2312"/>
          <w:color w:val="000000"/>
          <w:sz w:val="32"/>
          <w:szCs w:val="32"/>
          <w:lang w:bidi="ar"/>
        </w:rPr>
        <w:t>整治开放教育试卷安全保密管理工作</w:t>
      </w:r>
      <w:r>
        <w:rPr>
          <w:rFonts w:hint="eastAsia" w:ascii="仿宋_GB2312" w:eastAsia="仿宋_GB2312" w:cs="仿宋_GB2312"/>
          <w:color w:val="000000"/>
          <w:sz w:val="32"/>
          <w:szCs w:val="32"/>
          <w:lang w:val="en-US" w:eastAsia="zh-CN" w:bidi="ar"/>
        </w:rPr>
        <w:t>的</w:t>
      </w:r>
      <w:r>
        <w:rPr>
          <w:rFonts w:hint="eastAsia" w:ascii="仿宋_GB2312" w:eastAsia="仿宋_GB2312" w:cs="仿宋_GB2312"/>
          <w:color w:val="000000"/>
          <w:sz w:val="32"/>
          <w:szCs w:val="32"/>
          <w:lang w:bidi="ar"/>
        </w:rPr>
        <w:t xml:space="preserve">实施方案》印发给你们，请按照方案要求，结合实际，认真贯彻落实。 </w:t>
      </w:r>
    </w:p>
    <w:p>
      <w:pPr>
        <w:rPr>
          <w:rFonts w:hint="eastAsia"/>
          <w:lang w:val="en-US" w:eastAsia="zh-CN"/>
        </w:rPr>
      </w:pPr>
    </w:p>
    <w:p>
      <w:pPr>
        <w:spacing w:line="580" w:lineRule="exact"/>
        <w:jc w:val="right"/>
        <w:rPr>
          <w:rFonts w:hint="eastAsia" w:ascii="仿宋_GB2312" w:eastAsia="仿宋_GB2312" w:cs="仿宋_GB2312"/>
          <w:color w:val="000000"/>
          <w:sz w:val="32"/>
          <w:szCs w:val="32"/>
          <w:lang w:val="en-US" w:eastAsia="zh-CN" w:bidi="ar"/>
        </w:rPr>
      </w:pPr>
      <w:r>
        <w:rPr>
          <w:rFonts w:hint="eastAsia" w:ascii="仿宋_GB2312" w:eastAsia="仿宋_GB2312" w:cs="仿宋_GB2312"/>
          <w:color w:val="000000"/>
          <w:sz w:val="32"/>
          <w:szCs w:val="32"/>
          <w:lang w:val="en-US" w:eastAsia="zh-CN" w:bidi="ar"/>
        </w:rPr>
        <w:t xml:space="preserve">                                 </w:t>
      </w:r>
    </w:p>
    <w:p>
      <w:pPr>
        <w:spacing w:line="580" w:lineRule="exact"/>
        <w:jc w:val="center"/>
        <w:rPr>
          <w:rFonts w:hint="eastAsia" w:ascii="仿宋_GB2312" w:eastAsia="仿宋_GB2312" w:cs="仿宋_GB2312"/>
          <w:color w:val="000000"/>
          <w:sz w:val="32"/>
          <w:szCs w:val="32"/>
          <w:lang w:val="en-US" w:eastAsia="zh-CN" w:bidi="ar"/>
        </w:rPr>
      </w:pPr>
      <w:r>
        <w:rPr>
          <w:rFonts w:hint="eastAsia" w:ascii="仿宋_GB2312" w:eastAsia="仿宋_GB2312" w:cs="仿宋_GB2312"/>
          <w:color w:val="000000"/>
          <w:sz w:val="32"/>
          <w:szCs w:val="32"/>
          <w:lang w:val="en-US" w:eastAsia="zh-CN" w:bidi="ar"/>
        </w:rPr>
        <w:t xml:space="preserve">                                    </w:t>
      </w:r>
      <w:r>
        <w:rPr>
          <w:rFonts w:hint="eastAsia" w:ascii="仿宋_GB2312" w:eastAsia="仿宋_GB2312" w:cs="仿宋_GB2312"/>
          <w:color w:val="000000"/>
          <w:sz w:val="32"/>
          <w:szCs w:val="32"/>
          <w:lang w:bidi="ar"/>
        </w:rPr>
        <w:t>山东开放大学</w:t>
      </w:r>
      <w:r>
        <w:rPr>
          <w:rFonts w:hint="eastAsia" w:ascii="仿宋_GB2312" w:eastAsia="仿宋_GB2312" w:cs="仿宋_GB2312"/>
          <w:color w:val="000000"/>
          <w:sz w:val="32"/>
          <w:szCs w:val="32"/>
          <w:lang w:val="en-US" w:eastAsia="zh-CN" w:bidi="ar"/>
        </w:rPr>
        <w:t>教务处</w:t>
      </w:r>
      <w:r>
        <w:rPr>
          <w:rFonts w:hint="eastAsia" w:ascii="仿宋_GB2312" w:eastAsia="仿宋_GB2312" w:cs="仿宋_GB2312"/>
          <w:color w:val="000000"/>
          <w:sz w:val="32"/>
          <w:szCs w:val="32"/>
          <w:lang w:bidi="ar"/>
        </w:rPr>
        <w:t xml:space="preserve">                                                                       </w:t>
      </w:r>
      <w:r>
        <w:rPr>
          <w:rFonts w:hint="eastAsia" w:ascii="仿宋_GB2312" w:eastAsia="仿宋_GB2312" w:cs="仿宋_GB2312"/>
          <w:color w:val="000000"/>
          <w:sz w:val="32"/>
          <w:szCs w:val="32"/>
          <w:lang w:val="en-US" w:eastAsia="zh-CN" w:bidi="ar"/>
        </w:rPr>
        <w:t xml:space="preserve">                                           </w:t>
      </w:r>
    </w:p>
    <w:p>
      <w:pPr>
        <w:spacing w:line="580" w:lineRule="exact"/>
        <w:jc w:val="center"/>
        <w:rPr>
          <w:rFonts w:ascii="仿宋_GB2312" w:eastAsia="仿宋_GB2312" w:cs="仿宋_GB2312"/>
          <w:color w:val="000000"/>
          <w:sz w:val="32"/>
          <w:szCs w:val="32"/>
          <w:lang w:bidi="ar"/>
        </w:rPr>
      </w:pPr>
      <w:r>
        <w:rPr>
          <w:rFonts w:hint="eastAsia" w:ascii="仿宋_GB2312" w:eastAsia="仿宋_GB2312" w:cs="仿宋_GB2312"/>
          <w:color w:val="000000"/>
          <w:sz w:val="32"/>
          <w:szCs w:val="32"/>
          <w:lang w:val="en-US" w:eastAsia="zh-CN" w:bidi="ar"/>
        </w:rPr>
        <w:t xml:space="preserve">                                     </w:t>
      </w:r>
      <w:r>
        <w:rPr>
          <w:rFonts w:hint="eastAsia" w:ascii="仿宋_GB2312" w:eastAsia="仿宋_GB2312" w:cs="仿宋_GB2312"/>
          <w:color w:val="000000"/>
          <w:sz w:val="32"/>
          <w:szCs w:val="32"/>
          <w:lang w:bidi="ar"/>
        </w:rPr>
        <w:t>2023年11月2</w:t>
      </w:r>
      <w:r>
        <w:rPr>
          <w:rFonts w:hint="eastAsia" w:ascii="仿宋_GB2312" w:eastAsia="仿宋_GB2312" w:cs="仿宋_GB2312"/>
          <w:color w:val="000000"/>
          <w:sz w:val="32"/>
          <w:szCs w:val="32"/>
          <w:lang w:val="en-US" w:eastAsia="zh-CN" w:bidi="ar"/>
        </w:rPr>
        <w:t>9</w:t>
      </w:r>
      <w:r>
        <w:rPr>
          <w:rFonts w:hint="eastAsia" w:ascii="仿宋_GB2312" w:eastAsia="仿宋_GB2312" w:cs="仿宋_GB2312"/>
          <w:color w:val="000000"/>
          <w:sz w:val="32"/>
          <w:szCs w:val="32"/>
          <w:lang w:bidi="ar"/>
        </w:rPr>
        <w:t>日</w:t>
      </w:r>
    </w:p>
    <w:p>
      <w:pPr>
        <w:rPr>
          <w:rFonts w:hint="eastAsia"/>
          <w:lang w:val="en-US" w:eastAsia="zh-CN"/>
        </w:rPr>
      </w:pPr>
      <w:bookmarkStart w:id="0" w:name="_GoBack"/>
      <w:bookmarkEnd w:id="0"/>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line="58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山东开放大学</w:t>
      </w:r>
    </w:p>
    <w:p>
      <w:pPr>
        <w:spacing w:line="580" w:lineRule="exact"/>
        <w:jc w:val="center"/>
        <w:rPr>
          <w:rFonts w:hint="eastAsia" w:ascii="方正小标宋简体" w:hAnsi="方正小标宋简体" w:eastAsia="方正小标宋简体" w:cs="方正小标宋简体"/>
          <w:color w:val="000000"/>
          <w:sz w:val="44"/>
          <w:szCs w:val="44"/>
          <w:lang w:val="en-US" w:eastAsia="zh-CN" w:bidi="ar"/>
        </w:rPr>
      </w:pPr>
      <w:r>
        <w:rPr>
          <w:rFonts w:hint="eastAsia" w:ascii="方正小标宋简体" w:hAnsi="方正小标宋简体" w:eastAsia="方正小标宋简体" w:cs="方正小标宋简体"/>
          <w:color w:val="000000"/>
          <w:sz w:val="44"/>
          <w:szCs w:val="44"/>
          <w:lang w:val="en-US" w:eastAsia="zh-CN" w:bidi="ar"/>
        </w:rPr>
        <w:t>关于</w:t>
      </w:r>
      <w:r>
        <w:rPr>
          <w:rFonts w:hint="eastAsia" w:ascii="方正小标宋简体" w:hAnsi="方正小标宋简体" w:eastAsia="方正小标宋简体" w:cs="方正小标宋简体"/>
          <w:color w:val="000000"/>
          <w:sz w:val="44"/>
          <w:szCs w:val="44"/>
          <w:lang w:bidi="ar"/>
        </w:rPr>
        <w:t>整治开放教育试卷安全保密管理工作</w:t>
      </w:r>
      <w:r>
        <w:rPr>
          <w:rFonts w:hint="eastAsia" w:ascii="方正小标宋简体" w:hAnsi="方正小标宋简体" w:eastAsia="方正小标宋简体" w:cs="方正小标宋简体"/>
          <w:color w:val="000000"/>
          <w:sz w:val="44"/>
          <w:szCs w:val="44"/>
          <w:lang w:val="en-US" w:eastAsia="zh-CN" w:bidi="ar"/>
        </w:rPr>
        <w:t>的</w:t>
      </w:r>
    </w:p>
    <w:p>
      <w:pPr>
        <w:spacing w:line="58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bidi="ar"/>
        </w:rPr>
        <w:t xml:space="preserve">实施方案 </w:t>
      </w:r>
    </w:p>
    <w:p>
      <w:pPr>
        <w:spacing w:line="580" w:lineRule="exact"/>
        <w:ind w:firstLine="631"/>
        <w:rPr>
          <w:rFonts w:ascii="仿宋_GB2312" w:eastAsia="仿宋_GB2312" w:cs="仿宋_GB2312"/>
          <w:color w:val="000000"/>
          <w:sz w:val="32"/>
          <w:szCs w:val="32"/>
          <w:lang w:bidi="ar"/>
        </w:rPr>
      </w:pPr>
    </w:p>
    <w:p>
      <w:pPr>
        <w:spacing w:line="580" w:lineRule="exact"/>
        <w:ind w:firstLine="631"/>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 xml:space="preserve">为贯彻落实国家开放大学《关于开展试卷安全保密管理专项整治工作方案》（国开考函[2023]17号）要求，深入推进开放教育高质量发展，进一步加强试卷安全保密管理，整治试卷安全保密管理中可能发生的违规问题，坚决遏制试题泄露行为，经研究，我校决定深入开展整治试卷安全保密管理工作，请各市（直管县）开大（电大）、学习中心（以下简称“各级考试组织单位”）认真贯彻执行，具体方案如下： </w:t>
      </w:r>
    </w:p>
    <w:p>
      <w:pPr>
        <w:spacing w:line="580" w:lineRule="exact"/>
        <w:ind w:firstLine="631"/>
        <w:rPr>
          <w:rFonts w:ascii="黑体" w:hAnsi="宋体" w:eastAsia="黑体" w:cs="黑体"/>
          <w:color w:val="000000"/>
          <w:sz w:val="32"/>
          <w:szCs w:val="32"/>
          <w:lang w:bidi="ar"/>
        </w:rPr>
      </w:pPr>
      <w:r>
        <w:rPr>
          <w:rFonts w:hint="eastAsia" w:ascii="黑体" w:hAnsi="宋体" w:eastAsia="黑体" w:cs="黑体"/>
          <w:color w:val="000000"/>
          <w:sz w:val="32"/>
          <w:szCs w:val="32"/>
          <w:lang w:bidi="ar"/>
        </w:rPr>
        <w:t xml:space="preserve">一、工作内容 </w:t>
      </w:r>
    </w:p>
    <w:p>
      <w:pPr>
        <w:numPr>
          <w:ilvl w:val="0"/>
          <w:numId w:val="1"/>
        </w:numPr>
        <w:spacing w:line="580" w:lineRule="exact"/>
        <w:ind w:left="631"/>
        <w:rPr>
          <w:rFonts w:ascii="楷体" w:hAnsi="楷体" w:eastAsia="楷体" w:cs="楷体"/>
          <w:color w:val="000000"/>
          <w:sz w:val="32"/>
          <w:szCs w:val="32"/>
          <w:lang w:bidi="ar"/>
        </w:rPr>
      </w:pPr>
      <w:r>
        <w:rPr>
          <w:rFonts w:hint="eastAsia" w:ascii="楷体" w:hAnsi="楷体" w:eastAsia="楷体" w:cs="楷体"/>
          <w:color w:val="000000"/>
          <w:sz w:val="32"/>
          <w:szCs w:val="32"/>
          <w:lang w:bidi="ar"/>
        </w:rPr>
        <w:t>做好试卷安全保密管理宣传和培训工作</w:t>
      </w:r>
    </w:p>
    <w:p>
      <w:pPr>
        <w:spacing w:line="580" w:lineRule="exact"/>
        <w:ind w:firstLine="64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根据国家保密局及教育部有关规定，国家开放大学全国统一考试试卷(含试题、答案、评分参考、听力存储介质等)启用前属于秘密级国家秘密，如单位或个人发生试题泄露，应承担相应的法律责任。</w:t>
      </w:r>
    </w:p>
    <w:p>
      <w:pPr>
        <w:spacing w:line="580" w:lineRule="exact"/>
        <w:ind w:firstLine="64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各级考试组织单位必须高度重视试卷安全教育和保密工作培训，考前至少开展一次试卷安全保密管理培训，并组织有关人员专题学习《国家开放大学全国统一考试试卷安全保密管理规定》（国开考〔2018〕16 号）、《山东开放大学关于进一步加强考试安全工作的意见》等有关文件。创新培训方式与方法，综合采用违规典型案例、宣传片和教育培训基地等方式开展警示教育，举一反三、防微杜渐，强化培训效果。各级考试组织单位应妥善留存培训材料，以备山东开大和国家开放大学抽查。</w:t>
      </w:r>
    </w:p>
    <w:p>
      <w:pPr>
        <w:numPr>
          <w:ilvl w:val="0"/>
          <w:numId w:val="1"/>
        </w:numPr>
        <w:spacing w:line="580" w:lineRule="exact"/>
        <w:ind w:left="631"/>
        <w:rPr>
          <w:rFonts w:ascii="楷体" w:hAnsi="楷体" w:eastAsia="楷体" w:cs="楷体"/>
          <w:color w:val="000000"/>
          <w:sz w:val="32"/>
          <w:szCs w:val="32"/>
          <w:lang w:bidi="ar"/>
        </w:rPr>
      </w:pPr>
      <w:r>
        <w:rPr>
          <w:rFonts w:hint="eastAsia" w:ascii="楷体" w:hAnsi="楷体" w:eastAsia="楷体" w:cs="楷体"/>
          <w:color w:val="000000"/>
          <w:sz w:val="32"/>
          <w:szCs w:val="32"/>
          <w:lang w:bidi="ar"/>
        </w:rPr>
        <w:t>建立安全规范的试卷保密室</w:t>
      </w:r>
    </w:p>
    <w:p>
      <w:pPr>
        <w:ind w:left="631"/>
        <w:jc w:val="left"/>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各级考试组织单位要严格落实《山东开放大学开放教育试卷</w:t>
      </w:r>
    </w:p>
    <w:p>
      <w:pPr>
        <w:jc w:val="left"/>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保密室管理规定》（</w:t>
      </w:r>
      <w:r>
        <w:rPr>
          <w:rFonts w:ascii="仿宋_GB2312" w:eastAsia="仿宋_GB2312" w:cs="仿宋_GB2312"/>
          <w:color w:val="000000"/>
          <w:sz w:val="32"/>
          <w:szCs w:val="32"/>
          <w:lang w:bidi="ar"/>
        </w:rPr>
        <w:t>鲁开大教务字〔2021〕57号</w:t>
      </w:r>
      <w:r>
        <w:rPr>
          <w:rFonts w:hint="eastAsia" w:ascii="仿宋_GB2312" w:eastAsia="仿宋_GB2312" w:cs="仿宋_GB2312"/>
          <w:color w:val="000000"/>
          <w:sz w:val="32"/>
          <w:szCs w:val="32"/>
          <w:lang w:bidi="ar"/>
        </w:rPr>
        <w:t>）有关要求，对所辖考点试卷保密室及周边环境进行自查，确保保密室软硬件条件符合规定、设备设施运行良好、周边环境安全可靠。保密室内不得存放计算机交互设备、网络设施等，配备的试卷保密柜要足够容纳本辖区所有纸质考试试卷。试卷存放期间，要保证视频监控设备和手机信号屏蔽系统开启并正常运行。视频监控录像要妥善保管，并支持回放。</w:t>
      </w:r>
    </w:p>
    <w:p>
      <w:pPr>
        <w:jc w:val="left"/>
        <w:rPr>
          <w:rFonts w:ascii="黑体" w:hAnsi="宋体" w:eastAsia="黑体" w:cs="黑体"/>
          <w:color w:val="000000"/>
          <w:sz w:val="32"/>
          <w:szCs w:val="32"/>
          <w:lang w:bidi="ar"/>
        </w:rPr>
      </w:pPr>
      <w:r>
        <w:rPr>
          <w:rFonts w:hint="eastAsia" w:ascii="仿宋_GB2312" w:eastAsia="仿宋_GB2312" w:cs="仿宋_GB2312"/>
          <w:color w:val="000000"/>
          <w:sz w:val="32"/>
          <w:szCs w:val="32"/>
          <w:lang w:bidi="ar"/>
        </w:rPr>
        <w:t xml:space="preserve">    考点要建立完善的保密室管理规定，并指定专人负责保密室的安全保密工作。我校将对各考点的保密室进行重点检查，对保密室条件不符合要求的考点，将暂停考点组考权并限期整改。</w:t>
      </w:r>
    </w:p>
    <w:p>
      <w:pPr>
        <w:numPr>
          <w:ilvl w:val="0"/>
          <w:numId w:val="1"/>
        </w:numPr>
        <w:spacing w:line="580" w:lineRule="exact"/>
        <w:ind w:left="631"/>
        <w:rPr>
          <w:rFonts w:ascii="楷体" w:hAnsi="楷体" w:eastAsia="楷体" w:cs="楷体"/>
          <w:color w:val="000000"/>
          <w:sz w:val="32"/>
          <w:szCs w:val="32"/>
          <w:lang w:bidi="ar"/>
        </w:rPr>
      </w:pPr>
      <w:r>
        <w:rPr>
          <w:rFonts w:hint="eastAsia" w:ascii="楷体" w:hAnsi="楷体" w:eastAsia="楷体" w:cs="楷体"/>
          <w:color w:val="000000"/>
          <w:sz w:val="32"/>
          <w:szCs w:val="32"/>
          <w:lang w:bidi="ar"/>
        </w:rPr>
        <w:t>严格落实试卷分发及运输规定</w:t>
      </w:r>
    </w:p>
    <w:p>
      <w:pPr>
        <w:spacing w:line="580" w:lineRule="exact"/>
        <w:ind w:left="631"/>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各级考试组织单位应严格遵守国家秘密级考试试卷分发、运</w:t>
      </w:r>
    </w:p>
    <w:p>
      <w:pPr>
        <w:spacing w:line="580" w:lineRule="exact"/>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输规定和国家开放大学相关要求。严格执行试卷分发流程，原则上试卷分发由山东开大到市（直管县）开大（电大），再由市（直管县）开大（电大）到学习中心，最后由学习中心到各考点。严格控制试卷到达目的地时间，原则上试卷到达学习中心（或考点）时间不得早于开考时间2天。试卷分发及运输工作只能采用机要发送或专人专车押运两种方式，如采用专人专车押运试卷，每车不得少于两人（不含司机），须严格落实全程监控录像并妥善留存，并规范履行试卷交接手续。</w:t>
      </w:r>
    </w:p>
    <w:p>
      <w:pPr>
        <w:spacing w:line="580" w:lineRule="exact"/>
        <w:ind w:firstLine="640" w:firstLineChars="200"/>
        <w:rPr>
          <w:rFonts w:ascii="黑体" w:hAnsi="宋体" w:eastAsia="黑体" w:cs="黑体"/>
          <w:color w:val="000000"/>
          <w:sz w:val="32"/>
          <w:szCs w:val="32"/>
          <w:lang w:bidi="ar"/>
        </w:rPr>
      </w:pPr>
      <w:r>
        <w:rPr>
          <w:rFonts w:hint="eastAsia" w:ascii="仿宋_GB2312" w:eastAsia="仿宋_GB2312" w:cs="仿宋_GB2312"/>
          <w:color w:val="000000"/>
          <w:sz w:val="32"/>
          <w:szCs w:val="32"/>
          <w:lang w:bidi="ar"/>
        </w:rPr>
        <w:t>试卷分发期间，试卷由山东开大分发给各市（直管县）开大（电大）时，双方签写《国家开放大学纸质试卷交接单》（见附件1）；各市（直管县）开大（电大）、考点接收试卷后及时入库清点，并签写《国家开放大学纸质试卷入库清单》（见附件2）；考试当天，考务人员与卷库保管员（值班人员）在保密室内履行出入库交接，并签写《保密室试卷出入库记录表》（见附件3）；考试当天当场，在特设考务办公室（考试值班室），试卷经由考务工作人员分发至考场及回收，签写《考务办公室（考试值班室）试卷分发登记表》（见附件4）；试卷入库至出库期间，保密室值班人员签写《保密室值班记录》（见附件5）。</w:t>
      </w:r>
    </w:p>
    <w:p>
      <w:pPr>
        <w:spacing w:line="580" w:lineRule="exact"/>
        <w:ind w:firstLine="640" w:firstLineChars="200"/>
        <w:rPr>
          <w:rFonts w:ascii="楷体" w:hAnsi="楷体" w:eastAsia="楷体" w:cs="楷体"/>
          <w:color w:val="000000"/>
          <w:sz w:val="32"/>
          <w:szCs w:val="32"/>
          <w:lang w:bidi="ar"/>
        </w:rPr>
      </w:pPr>
      <w:r>
        <w:rPr>
          <w:rFonts w:hint="eastAsia" w:ascii="楷体" w:hAnsi="楷体" w:eastAsia="楷体" w:cs="楷体"/>
          <w:color w:val="000000"/>
          <w:sz w:val="32"/>
          <w:szCs w:val="32"/>
          <w:lang w:bidi="ar"/>
        </w:rPr>
        <w:t>（四）实现试卷流转环节全过程监控</w:t>
      </w:r>
    </w:p>
    <w:p>
      <w:pPr>
        <w:spacing w:line="580" w:lineRule="exact"/>
        <w:ind w:firstLine="640" w:firstLineChars="2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各级考试组织单位须严格落实自试卷离开山东开大至试卷启用前各环节全过程安全保密工作，确保试卷运输、分发、保管、交接等各环节落实全过程监控录像，做到监控与人、卷不分离，监控无死角无盲点，试卷流转各环节均有据可查。要确保监控运行保障，妥善保管监控视频录像至少3个月，直至国家开放大学通知可销毁为止。</w:t>
      </w:r>
    </w:p>
    <w:p>
      <w:pPr>
        <w:spacing w:line="580" w:lineRule="exact"/>
        <w:ind w:firstLine="640" w:firstLineChars="200"/>
        <w:rPr>
          <w:rFonts w:ascii="楷体" w:hAnsi="楷体" w:eastAsia="楷体" w:cs="楷体"/>
          <w:color w:val="000000"/>
          <w:sz w:val="32"/>
          <w:szCs w:val="32"/>
          <w:lang w:bidi="ar"/>
        </w:rPr>
      </w:pPr>
      <w:r>
        <w:rPr>
          <w:rFonts w:hint="eastAsia" w:ascii="楷体" w:hAnsi="楷体" w:eastAsia="楷体" w:cs="楷体"/>
          <w:color w:val="000000"/>
          <w:sz w:val="32"/>
          <w:szCs w:val="32"/>
          <w:lang w:bidi="ar"/>
        </w:rPr>
        <w:t>（五）保证涉卷人员工作履职尽责</w:t>
      </w:r>
    </w:p>
    <w:p>
      <w:pPr>
        <w:spacing w:line="580" w:lineRule="exact"/>
        <w:ind w:firstLine="640" w:firstLineChars="2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各级考试组织单位须对照试卷安全保密等有关考试管理规定，严格进行涉卷人员遴选，重点审查其任职条件、工作职责和禁止规定等各项要求，确保涉卷人员能够“坚持原则，忠于职守，严格遵守纪律，工作认真负责”，做到守土有责、守土尽责。涉卷人员采用主考负责制，所有涉卷人员必须签订保密承诺书。涉卷人员包括主考、考务人员、值班人员、押运人员、交接人员、监控人员、监考人员等，试卷启封前的涉卷人员须是本单位正式教职员工，严禁考生亲属作为涉卷人员。涉卷人员在涉卷期间不得少于两人同时在场，进入保密室须严格落实“双人双锁”制度。重点检查保密室值班人员的试卷袋存放和密封、试卷出入库登记和接收发放记录等工作是否规范准确。主考须严格审查各人员是否符合任职条件以及其履职程度，对不符合任职条件或履职不力的人员要及时作出严肃处理。</w:t>
      </w:r>
    </w:p>
    <w:p>
      <w:pPr>
        <w:spacing w:line="580" w:lineRule="exact"/>
        <w:ind w:firstLine="640" w:firstLineChars="200"/>
        <w:rPr>
          <w:rFonts w:ascii="楷体" w:hAnsi="楷体" w:eastAsia="楷体" w:cs="楷体"/>
          <w:color w:val="000000"/>
          <w:sz w:val="32"/>
          <w:szCs w:val="32"/>
          <w:lang w:bidi="ar"/>
        </w:rPr>
      </w:pPr>
      <w:r>
        <w:rPr>
          <w:rFonts w:hint="eastAsia" w:ascii="楷体" w:hAnsi="楷体" w:eastAsia="楷体" w:cs="楷体"/>
          <w:color w:val="000000"/>
          <w:sz w:val="32"/>
          <w:szCs w:val="32"/>
          <w:lang w:bidi="ar"/>
        </w:rPr>
        <w:t>（六）严肃处理试卷泄露问题</w:t>
      </w:r>
    </w:p>
    <w:p>
      <w:pPr>
        <w:spacing w:line="580" w:lineRule="exact"/>
        <w:rPr>
          <w:rFonts w:ascii="黑体" w:hAnsi="宋体" w:eastAsia="黑体" w:cs="黑体"/>
          <w:color w:val="000000"/>
          <w:sz w:val="32"/>
          <w:szCs w:val="32"/>
          <w:lang w:bidi="ar"/>
        </w:rPr>
      </w:pPr>
      <w:r>
        <w:rPr>
          <w:rFonts w:hint="eastAsia" w:ascii="黑体" w:hAnsi="宋体" w:eastAsia="黑体" w:cs="黑体"/>
          <w:color w:val="000000"/>
          <w:sz w:val="32"/>
          <w:szCs w:val="32"/>
          <w:lang w:bidi="ar"/>
        </w:rPr>
        <w:t xml:space="preserve"> </w:t>
      </w:r>
      <w:r>
        <w:rPr>
          <w:rFonts w:hint="eastAsia" w:ascii="仿宋_GB2312" w:eastAsia="仿宋_GB2312" w:cs="仿宋_GB2312"/>
          <w:color w:val="000000"/>
          <w:sz w:val="32"/>
          <w:szCs w:val="32"/>
          <w:lang w:bidi="ar"/>
        </w:rPr>
        <w:t xml:space="preserve">   对于考试过程中发现的试卷泄露和考场中查实的标准答案等紧急情况，各级考试组织单位应第一时间向山东开大报告，并按照属地化管理，“哪里发现哪里查证”，妥善留存相关证据，主动核查考点存在的问题，积极追踪试卷泄露的途径和标准答案的来源，并采取有效措施遏制试卷和答案进一步扩散。必要时，向山东开大报备后，向公安机关（电话110）报告，请求支持并予以查处。对故意隐瞒相关情况，或者麻痹大意、不严格执行相关措施的，山东开大将对相关市（直管县）开大（电大）、考点和相关人员按照有关要求进行处理，情节严重的，给予停止组考、撤销考点、削减招生指标或停止招生等处理，并通报当地教育行政管理部门。</w:t>
      </w:r>
    </w:p>
    <w:p>
      <w:pPr>
        <w:spacing w:line="580" w:lineRule="exact"/>
        <w:ind w:firstLine="640" w:firstLineChars="200"/>
        <w:rPr>
          <w:rFonts w:ascii="楷体" w:hAnsi="楷体" w:eastAsia="楷体" w:cs="楷体"/>
          <w:color w:val="000000"/>
          <w:sz w:val="32"/>
          <w:szCs w:val="32"/>
          <w:lang w:bidi="ar"/>
        </w:rPr>
      </w:pPr>
      <w:r>
        <w:rPr>
          <w:rFonts w:hint="eastAsia" w:ascii="楷体" w:hAnsi="楷体" w:eastAsia="楷体" w:cs="楷体"/>
          <w:color w:val="000000"/>
          <w:sz w:val="32"/>
          <w:szCs w:val="32"/>
          <w:lang w:bidi="ar"/>
        </w:rPr>
        <w:t>（七）加大巡查督察力度</w:t>
      </w:r>
    </w:p>
    <w:p>
      <w:pPr>
        <w:spacing w:line="580" w:lineRule="exact"/>
        <w:ind w:firstLine="640" w:firstLineChars="2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山东开大将组织力量对全省开放教育考点开展考前检查，对考试组织不规范、近4年内考试出现违规、异地生比例较高、被通报批评的考点、新设立考点、潜在风险考点等进行定期或不定期巡查，重点检查考点保密培训教育、命题环境、保密室、人员履职情况、试卷分发运输、全过程监控等方面的落实情况。对于发现的问题，考点主考应及时督导整改，同时向山东开大上报相关情况。各市（直管县）开大（电大）须加强对所辖学习中心试卷安全保密管理工作的巡查监督力度。</w:t>
      </w:r>
    </w:p>
    <w:p>
      <w:pPr>
        <w:spacing w:line="580" w:lineRule="exact"/>
        <w:ind w:firstLine="640" w:firstLineChars="200"/>
        <w:rPr>
          <w:rFonts w:ascii="楷体" w:hAnsi="楷体" w:eastAsia="楷体" w:cs="楷体"/>
          <w:color w:val="000000"/>
          <w:sz w:val="32"/>
          <w:szCs w:val="32"/>
          <w:lang w:bidi="ar"/>
        </w:rPr>
      </w:pPr>
      <w:r>
        <w:rPr>
          <w:rFonts w:hint="eastAsia" w:ascii="黑体" w:hAnsi="宋体" w:eastAsia="黑体" w:cs="黑体"/>
          <w:color w:val="000000"/>
          <w:sz w:val="32"/>
          <w:szCs w:val="32"/>
          <w:lang w:bidi="ar"/>
        </w:rPr>
        <w:t>二、工作步骤</w:t>
      </w:r>
      <w:r>
        <w:rPr>
          <w:rFonts w:hint="eastAsia" w:ascii="仿宋_GB2312" w:eastAsia="仿宋_GB2312" w:cs="仿宋_GB2312"/>
          <w:color w:val="000000"/>
          <w:sz w:val="32"/>
          <w:szCs w:val="32"/>
          <w:lang w:bidi="ar"/>
        </w:rPr>
        <w:br w:type="textWrapping"/>
      </w:r>
      <w:r>
        <w:rPr>
          <w:rFonts w:hint="eastAsia" w:ascii="仿宋_GB2312" w:eastAsia="仿宋_GB2312" w:cs="仿宋_GB2312"/>
          <w:color w:val="000000"/>
          <w:sz w:val="32"/>
          <w:szCs w:val="32"/>
          <w:lang w:bidi="ar"/>
        </w:rPr>
        <w:t xml:space="preserve">   </w:t>
      </w:r>
      <w:r>
        <w:rPr>
          <w:rFonts w:hint="eastAsia" w:ascii="楷体" w:hAnsi="楷体" w:eastAsia="楷体" w:cs="楷体"/>
          <w:color w:val="000000"/>
          <w:sz w:val="32"/>
          <w:szCs w:val="32"/>
          <w:lang w:bidi="ar"/>
        </w:rPr>
        <w:t>（一）制定方案阶段（2023年11月29日-12月8日）</w:t>
      </w:r>
    </w:p>
    <w:p>
      <w:pPr>
        <w:spacing w:line="580" w:lineRule="exact"/>
        <w:ind w:firstLine="640" w:firstLineChars="200"/>
        <w:rPr>
          <w:rFonts w:ascii="楷体" w:hAnsi="楷体" w:eastAsia="楷体" w:cs="楷体"/>
          <w:color w:val="000000"/>
          <w:sz w:val="32"/>
          <w:szCs w:val="32"/>
          <w:lang w:bidi="ar"/>
        </w:rPr>
      </w:pPr>
      <w:r>
        <w:rPr>
          <w:rFonts w:hint="eastAsia" w:ascii="仿宋_GB2312" w:eastAsia="仿宋_GB2312" w:cs="仿宋_GB2312"/>
          <w:color w:val="000000"/>
          <w:sz w:val="32"/>
          <w:szCs w:val="32"/>
          <w:lang w:bidi="ar"/>
        </w:rPr>
        <w:t>各级考试组织单位要严格贯彻落实国家开放大学及我校试卷安全保密管理工作各项要求，并结合工作实际，探索有特色、有效果的试卷安全保密管理举措，研究制定本单位整治试卷安全保密管理工作实施方案和应急预案，切实保障试卷安全，推进我校开放教育高质量发展。各市（直管县）开大（电大）和学习中心须将整治试卷安全保密管理工作实施方案和应急预案（电子版和PDF盖章版）于12月8日前发送至考务科邮箱kwk6635@163.com。</w:t>
      </w:r>
      <w:r>
        <w:rPr>
          <w:rFonts w:hint="eastAsia" w:ascii="仿宋_GB2312" w:eastAsia="仿宋_GB2312" w:cs="仿宋_GB2312"/>
          <w:color w:val="000000"/>
          <w:sz w:val="32"/>
          <w:szCs w:val="32"/>
          <w:lang w:bidi="ar"/>
        </w:rPr>
        <w:br w:type="textWrapping"/>
      </w:r>
      <w:r>
        <w:rPr>
          <w:rFonts w:hint="eastAsia" w:ascii="仿宋_GB2312" w:eastAsia="仿宋_GB2312" w:cs="仿宋_GB2312"/>
          <w:color w:val="000000"/>
          <w:sz w:val="32"/>
          <w:szCs w:val="32"/>
          <w:lang w:bidi="ar"/>
        </w:rPr>
        <w:t xml:space="preserve">   </w:t>
      </w:r>
      <w:r>
        <w:rPr>
          <w:rFonts w:hint="eastAsia" w:ascii="楷体" w:hAnsi="楷体" w:eastAsia="楷体" w:cs="楷体"/>
          <w:color w:val="000000"/>
          <w:sz w:val="32"/>
          <w:szCs w:val="32"/>
          <w:lang w:bidi="ar"/>
        </w:rPr>
        <w:t>（二）宣传发动阶段（2023年12月11日-12月15日）</w:t>
      </w:r>
    </w:p>
    <w:p>
      <w:pPr>
        <w:spacing w:line="580" w:lineRule="exact"/>
        <w:ind w:firstLine="640" w:firstLineChars="200"/>
        <w:rPr>
          <w:rFonts w:ascii="楷体" w:hAnsi="楷体" w:eastAsia="楷体" w:cs="楷体"/>
          <w:color w:val="000000"/>
          <w:sz w:val="32"/>
          <w:szCs w:val="32"/>
          <w:lang w:bidi="ar"/>
        </w:rPr>
      </w:pPr>
      <w:r>
        <w:rPr>
          <w:rFonts w:hint="eastAsia" w:ascii="仿宋_GB2312" w:eastAsia="仿宋_GB2312" w:cs="仿宋_GB2312"/>
          <w:color w:val="000000"/>
          <w:sz w:val="32"/>
          <w:szCs w:val="32"/>
          <w:lang w:bidi="ar"/>
        </w:rPr>
        <w:t>各级考试组织单位应通过会议、文件、培训活动等形式，将整治试卷安全保密管理工作的意义和有关要求传达到相关人员，统一思想，提高认识，发动全员参与试卷安全保密管理工作。</w:t>
      </w:r>
      <w:r>
        <w:rPr>
          <w:rFonts w:hint="eastAsia" w:ascii="仿宋_GB2312" w:eastAsia="仿宋_GB2312" w:cs="仿宋_GB2312"/>
          <w:color w:val="000000"/>
          <w:sz w:val="32"/>
          <w:szCs w:val="32"/>
          <w:lang w:bidi="ar"/>
        </w:rPr>
        <w:br w:type="textWrapping"/>
      </w:r>
      <w:r>
        <w:rPr>
          <w:rFonts w:hint="eastAsia" w:ascii="仿宋_GB2312" w:eastAsia="仿宋_GB2312" w:cs="仿宋_GB2312"/>
          <w:color w:val="000000"/>
          <w:sz w:val="32"/>
          <w:szCs w:val="32"/>
          <w:lang w:bidi="ar"/>
        </w:rPr>
        <w:t xml:space="preserve">    </w:t>
      </w:r>
      <w:r>
        <w:rPr>
          <w:rFonts w:hint="eastAsia" w:ascii="楷体" w:hAnsi="楷体" w:eastAsia="楷体" w:cs="楷体"/>
          <w:color w:val="000000"/>
          <w:sz w:val="32"/>
          <w:szCs w:val="32"/>
          <w:lang w:bidi="ar"/>
        </w:rPr>
        <w:t>（三）排查摸底阶段（2023年12月18日-12月22日）</w:t>
      </w:r>
    </w:p>
    <w:p>
      <w:pPr>
        <w:spacing w:line="580" w:lineRule="exact"/>
        <w:ind w:firstLine="640" w:firstLineChars="200"/>
        <w:rPr>
          <w:rFonts w:ascii="楷体" w:hAnsi="楷体" w:eastAsia="楷体" w:cs="楷体"/>
          <w:color w:val="000000"/>
          <w:sz w:val="32"/>
          <w:szCs w:val="32"/>
          <w:lang w:bidi="ar"/>
        </w:rPr>
      </w:pPr>
      <w:r>
        <w:rPr>
          <w:rFonts w:hint="eastAsia" w:ascii="仿宋_GB2312" w:eastAsia="仿宋_GB2312" w:cs="仿宋_GB2312"/>
          <w:color w:val="000000"/>
          <w:sz w:val="32"/>
          <w:szCs w:val="32"/>
          <w:lang w:bidi="ar"/>
        </w:rPr>
        <w:t>各级考试组织单位对试卷保密管理工作进行全面排查摸底，找出存在的安全隐患和管理漏洞。</w:t>
      </w:r>
      <w:r>
        <w:rPr>
          <w:rFonts w:hint="eastAsia" w:ascii="仿宋_GB2312" w:eastAsia="仿宋_GB2312" w:cs="仿宋_GB2312"/>
          <w:color w:val="000000"/>
          <w:sz w:val="32"/>
          <w:szCs w:val="32"/>
          <w:lang w:bidi="ar"/>
        </w:rPr>
        <w:br w:type="textWrapping"/>
      </w:r>
      <w:r>
        <w:rPr>
          <w:rFonts w:hint="eastAsia" w:ascii="仿宋_GB2312" w:eastAsia="仿宋_GB2312" w:cs="仿宋_GB2312"/>
          <w:color w:val="000000"/>
          <w:sz w:val="32"/>
          <w:szCs w:val="32"/>
          <w:lang w:bidi="ar"/>
        </w:rPr>
        <w:t xml:space="preserve">   </w:t>
      </w:r>
      <w:r>
        <w:rPr>
          <w:rFonts w:hint="eastAsia" w:ascii="楷体" w:hAnsi="楷体" w:eastAsia="楷体" w:cs="楷体"/>
          <w:color w:val="000000"/>
          <w:sz w:val="32"/>
          <w:szCs w:val="32"/>
          <w:lang w:bidi="ar"/>
        </w:rPr>
        <w:t>（四）整改落实阶段（2023年12月25日-2024年1月15日）</w:t>
      </w:r>
    </w:p>
    <w:p>
      <w:pPr>
        <w:spacing w:line="580" w:lineRule="exact"/>
        <w:ind w:firstLine="640" w:firstLineChars="200"/>
        <w:rPr>
          <w:rFonts w:ascii="楷体" w:hAnsi="楷体" w:eastAsia="楷体" w:cs="楷体"/>
          <w:color w:val="000000"/>
          <w:sz w:val="32"/>
          <w:szCs w:val="32"/>
          <w:lang w:bidi="ar"/>
        </w:rPr>
      </w:pPr>
      <w:r>
        <w:rPr>
          <w:rFonts w:hint="eastAsia" w:ascii="仿宋_GB2312" w:eastAsia="仿宋_GB2312" w:cs="仿宋_GB2312"/>
          <w:color w:val="000000"/>
          <w:sz w:val="32"/>
          <w:szCs w:val="32"/>
          <w:lang w:bidi="ar"/>
        </w:rPr>
        <w:t>根据排查摸底结果，制定整改措施并组织力量进行整改落实。对整改情况及时进行检查和督促，确保整改效果。</w:t>
      </w:r>
      <w:r>
        <w:rPr>
          <w:rFonts w:hint="eastAsia" w:ascii="仿宋_GB2312" w:eastAsia="仿宋_GB2312" w:cs="仿宋_GB2312"/>
          <w:color w:val="000000"/>
          <w:sz w:val="32"/>
          <w:szCs w:val="32"/>
          <w:lang w:bidi="ar"/>
        </w:rPr>
        <w:br w:type="textWrapping"/>
      </w:r>
      <w:r>
        <w:rPr>
          <w:rFonts w:hint="eastAsia" w:ascii="仿宋_GB2312" w:eastAsia="仿宋_GB2312" w:cs="仿宋_GB2312"/>
          <w:color w:val="000000"/>
          <w:sz w:val="32"/>
          <w:szCs w:val="32"/>
          <w:lang w:bidi="ar"/>
        </w:rPr>
        <w:t xml:space="preserve">   </w:t>
      </w:r>
      <w:r>
        <w:rPr>
          <w:rFonts w:hint="eastAsia" w:ascii="楷体" w:hAnsi="楷体" w:eastAsia="楷体" w:cs="楷体"/>
          <w:color w:val="000000"/>
          <w:sz w:val="32"/>
          <w:szCs w:val="32"/>
          <w:lang w:bidi="ar"/>
        </w:rPr>
        <w:t>（五）检查验收阶段（2024年1月16日-3月4日）</w:t>
      </w:r>
    </w:p>
    <w:p>
      <w:pPr>
        <w:spacing w:line="580" w:lineRule="exact"/>
        <w:ind w:firstLine="640" w:firstLineChars="2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组织相关人员对整治工作进行全面检查验收，对存在的问题进行督促整改，建立健全试卷安全保密管理工作长效机制。同时总结试卷安全保密整治工作经验，形成工作报告，工作报告的电子版和PDF盖章版须于2024年3月4日前发送山东开大考务科邮箱kwk6635@163.com。</w:t>
      </w:r>
    </w:p>
    <w:p>
      <w:pPr>
        <w:spacing w:line="580" w:lineRule="exact"/>
        <w:ind w:firstLine="631"/>
        <w:rPr>
          <w:rFonts w:ascii="黑体" w:hAnsi="宋体" w:eastAsia="黑体" w:cs="黑体"/>
          <w:color w:val="000000"/>
          <w:sz w:val="32"/>
          <w:szCs w:val="32"/>
        </w:rPr>
      </w:pPr>
      <w:r>
        <w:rPr>
          <w:rFonts w:hint="eastAsia" w:ascii="黑体" w:hAnsi="宋体" w:eastAsia="黑体" w:cs="黑体"/>
          <w:color w:val="000000"/>
          <w:sz w:val="32"/>
          <w:szCs w:val="32"/>
          <w:lang w:bidi="ar"/>
        </w:rPr>
        <w:t xml:space="preserve">三、保障措施 </w:t>
      </w:r>
    </w:p>
    <w:p>
      <w:pPr>
        <w:spacing w:line="580" w:lineRule="exact"/>
        <w:ind w:left="631"/>
        <w:rPr>
          <w:rFonts w:ascii="楷体_GB2312" w:eastAsia="楷体_GB2312" w:cs="楷体_GB2312"/>
          <w:color w:val="000000"/>
          <w:sz w:val="32"/>
          <w:szCs w:val="32"/>
          <w:lang w:bidi="ar"/>
        </w:rPr>
      </w:pPr>
      <w:r>
        <w:rPr>
          <w:rFonts w:hint="eastAsia" w:ascii="楷体_GB2312" w:eastAsia="楷体_GB2312" w:cs="楷体_GB2312"/>
          <w:color w:val="000000"/>
          <w:sz w:val="32"/>
          <w:szCs w:val="32"/>
          <w:lang w:bidi="ar"/>
        </w:rPr>
        <w:t>（一）加强组织领导</w:t>
      </w:r>
    </w:p>
    <w:p>
      <w:pPr>
        <w:spacing w:line="580" w:lineRule="exact"/>
        <w:ind w:firstLine="640" w:firstLineChars="2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山东开大成立整治试卷安全保密管理工作领导小组，加强对全省开放教育试卷安全保密管理工作的组织领导，统筹安排各项工作。</w:t>
      </w:r>
    </w:p>
    <w:p>
      <w:pPr>
        <w:spacing w:line="580" w:lineRule="exact"/>
        <w:ind w:firstLine="640" w:firstLineChars="2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组成人员如下：</w:t>
      </w:r>
    </w:p>
    <w:p>
      <w:pPr>
        <w:spacing w:line="580" w:lineRule="exact"/>
        <w:ind w:left="631"/>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组  长：谢明浩</w:t>
      </w:r>
    </w:p>
    <w:p>
      <w:pPr>
        <w:spacing w:line="580" w:lineRule="exact"/>
        <w:ind w:left="631"/>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副组长：熊  炜</w:t>
      </w:r>
    </w:p>
    <w:p>
      <w:pPr>
        <w:spacing w:line="580" w:lineRule="exact"/>
        <w:ind w:left="631"/>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成  员：邹燕、韩晓燕、王菲</w:t>
      </w:r>
    </w:p>
    <w:p>
      <w:pPr>
        <w:spacing w:line="580" w:lineRule="exact"/>
        <w:ind w:left="631"/>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试卷安全保密管理工作领导小组下设办公室，设在山东开大</w:t>
      </w:r>
    </w:p>
    <w:p>
      <w:pPr>
        <w:spacing w:line="580" w:lineRule="exact"/>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教务处，负责试卷安全保密整治工作的具体推动与落实。</w:t>
      </w:r>
    </w:p>
    <w:p>
      <w:pPr>
        <w:spacing w:line="580" w:lineRule="exact"/>
        <w:ind w:firstLine="640" w:firstLineChars="2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各级考试组织单位要成立整治试卷安全保密管理工作领导小组，切实加强试卷安全保密管理工作组织领导。</w:t>
      </w:r>
    </w:p>
    <w:p>
      <w:pPr>
        <w:numPr>
          <w:ilvl w:val="0"/>
          <w:numId w:val="2"/>
        </w:numPr>
        <w:spacing w:line="580" w:lineRule="exact"/>
        <w:ind w:firstLine="631"/>
        <w:rPr>
          <w:rFonts w:ascii="楷体_GB2312" w:eastAsia="楷体_GB2312" w:cs="楷体_GB2312"/>
          <w:color w:val="000000"/>
          <w:sz w:val="32"/>
          <w:szCs w:val="32"/>
          <w:lang w:bidi="ar"/>
        </w:rPr>
      </w:pPr>
      <w:r>
        <w:rPr>
          <w:rFonts w:hint="eastAsia" w:ascii="楷体_GB2312" w:eastAsia="楷体_GB2312" w:cs="楷体_GB2312"/>
          <w:color w:val="000000"/>
          <w:sz w:val="32"/>
          <w:szCs w:val="32"/>
          <w:lang w:bidi="ar"/>
        </w:rPr>
        <w:t>落实经费保障</w:t>
      </w:r>
    </w:p>
    <w:p>
      <w:pPr>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lang w:bidi="ar"/>
        </w:rPr>
        <w:t>各级考试组织单位要高度重视试卷安全保密管理工作，建立完善的经费保障制度，切实保障试卷保密室的建设和试卷保管工作的正常运行。</w:t>
      </w:r>
    </w:p>
    <w:p>
      <w:pPr>
        <w:spacing w:line="580" w:lineRule="exact"/>
        <w:ind w:firstLine="629"/>
        <w:rPr>
          <w:rFonts w:ascii="仿宋_GB2312" w:eastAsia="仿宋_GB2312" w:cs="仿宋_GB2312"/>
          <w:color w:val="000000"/>
          <w:sz w:val="32"/>
          <w:szCs w:val="32"/>
        </w:rPr>
      </w:pPr>
      <w:r>
        <w:rPr>
          <w:rFonts w:hint="eastAsia" w:ascii="仿宋_GB2312" w:eastAsia="仿宋_GB2312" w:cs="仿宋_GB2312"/>
          <w:color w:val="000000"/>
          <w:sz w:val="32"/>
          <w:szCs w:val="32"/>
          <w:lang w:bidi="ar"/>
        </w:rPr>
        <w:t xml:space="preserve"> </w:t>
      </w:r>
    </w:p>
    <w:p>
      <w:pPr>
        <w:spacing w:line="580" w:lineRule="exact"/>
        <w:rPr>
          <w:rFonts w:ascii="仿宋_GB2312" w:eastAsia="仿宋_GB2312" w:cs="仿宋_GB2312"/>
          <w:color w:val="000000"/>
          <w:sz w:val="32"/>
          <w:szCs w:val="32"/>
        </w:rPr>
      </w:pPr>
      <w:r>
        <w:rPr>
          <w:rFonts w:hint="eastAsia" w:ascii="仿宋_GB2312" w:eastAsia="仿宋_GB2312" w:cs="仿宋_GB2312"/>
          <w:color w:val="000000"/>
          <w:sz w:val="32"/>
          <w:szCs w:val="32"/>
          <w:lang w:bidi="ar"/>
        </w:rPr>
        <w:t xml:space="preserve">    </w:t>
      </w:r>
    </w:p>
    <w:p>
      <w:pPr>
        <w:spacing w:line="580" w:lineRule="exact"/>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 xml:space="preserve">    附件：1.国家开放大学纸质试卷交接单</w:t>
      </w:r>
    </w:p>
    <w:p>
      <w:pPr>
        <w:spacing w:line="580" w:lineRule="exact"/>
        <w:ind w:firstLine="1600" w:firstLineChars="5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2.国家开放大学纸质试卷入库清单</w:t>
      </w:r>
    </w:p>
    <w:p>
      <w:pPr>
        <w:spacing w:line="580" w:lineRule="exact"/>
        <w:ind w:firstLine="1600" w:firstLineChars="5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3.保密室试卷出入库记录表（考点）</w:t>
      </w:r>
    </w:p>
    <w:p>
      <w:pPr>
        <w:spacing w:line="580" w:lineRule="exact"/>
        <w:ind w:firstLine="1600" w:firstLineChars="5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4.考务办公室（考试值班室）试卷分发登记表</w:t>
      </w:r>
    </w:p>
    <w:p>
      <w:pPr>
        <w:spacing w:line="580" w:lineRule="exact"/>
        <w:ind w:firstLine="1600" w:firstLineChars="500"/>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5.保密室值班记录</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line="500" w:lineRule="exact"/>
        <w:rPr>
          <w:rFonts w:hint="eastAsia" w:ascii="黑体" w:hAnsi="黑体" w:eastAsia="黑体" w:cs="黑体"/>
          <w:sz w:val="32"/>
          <w:szCs w:val="32"/>
        </w:rPr>
      </w:pPr>
      <w:r>
        <w:rPr>
          <w:rFonts w:hint="eastAsia" w:ascii="黑体" w:hAnsi="黑体" w:eastAsia="黑体" w:cs="黑体"/>
          <w:sz w:val="32"/>
          <w:szCs w:val="32"/>
        </w:rPr>
        <w:t>附件1</w:t>
      </w:r>
    </w:p>
    <w:p>
      <w:pPr>
        <w:widowControl/>
        <w:shd w:val="clear" w:color="auto" w:fill="FFFFFF"/>
        <w:adjustRightInd w:val="0"/>
        <w:snapToGrid w:val="0"/>
        <w:jc w:val="center"/>
        <w:rPr>
          <w:rFonts w:ascii="Times New Roman" w:hAnsi="Times New Roman"/>
          <w:bCs/>
          <w:kern w:val="0"/>
          <w:szCs w:val="30"/>
        </w:rPr>
      </w:pPr>
      <w:r>
        <w:rPr>
          <w:rFonts w:hint="eastAsia" w:ascii="方正小标宋简体" w:hAnsi="方正小标宋简体" w:eastAsia="方正小标宋简体" w:cs="方正小标宋简体"/>
          <w:spacing w:val="-8"/>
          <w:sz w:val="36"/>
          <w:szCs w:val="36"/>
        </w:rPr>
        <w:t>国家开放大学纸质试卷交接单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11"/>
        <w:gridCol w:w="2877"/>
        <w:gridCol w:w="190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2" w:type="dxa"/>
            <w:gridSpan w:val="5"/>
            <w:noWrap/>
            <w:vAlign w:val="center"/>
          </w:tcPr>
          <w:p>
            <w:pPr>
              <w:widowControl/>
              <w:shd w:val="clear" w:color="auto" w:fill="FFFFFF"/>
              <w:adjustRightInd w:val="0"/>
              <w:snapToGrid w:val="0"/>
              <w:jc w:val="center"/>
              <w:rPr>
                <w:rFonts w:hint="eastAsia" w:ascii="仿宋_GB2312" w:hAnsi="仿宋_GB2312" w:eastAsia="仿宋_GB2312" w:cs="仿宋_GB2312"/>
                <w:b/>
                <w:bCs/>
                <w:kern w:val="0"/>
                <w:szCs w:val="30"/>
              </w:rPr>
            </w:pPr>
            <w:r>
              <w:rPr>
                <w:rFonts w:hint="eastAsia" w:ascii="仿宋_GB2312" w:hAnsi="仿宋_GB2312" w:eastAsia="仿宋_GB2312" w:cs="仿宋_GB2312"/>
                <w:b/>
                <w:bCs/>
                <w:kern w:val="0"/>
                <w:sz w:val="30"/>
                <w:szCs w:val="30"/>
                <w:u w:val="single"/>
                <w:lang w:val="en-US" w:eastAsia="zh-CN"/>
              </w:rPr>
              <w:t xml:space="preserve">       </w:t>
            </w:r>
            <w:r>
              <w:rPr>
                <w:rFonts w:hint="eastAsia" w:ascii="仿宋_GB2312" w:hAnsi="仿宋_GB2312" w:eastAsia="仿宋_GB2312" w:cs="仿宋_GB2312"/>
                <w:b/>
                <w:bCs/>
                <w:kern w:val="0"/>
                <w:sz w:val="30"/>
                <w:szCs w:val="30"/>
                <w:u w:val="single"/>
              </w:rPr>
              <w:t>学期</w:t>
            </w:r>
            <w:r>
              <w:rPr>
                <w:rFonts w:hint="eastAsia" w:ascii="仿宋_GB2312" w:hAnsi="仿宋_GB2312" w:eastAsia="仿宋_GB2312" w:cs="仿宋_GB2312"/>
                <w:b/>
                <w:bCs/>
                <w:kern w:val="0"/>
                <w:sz w:val="30"/>
                <w:szCs w:val="30"/>
              </w:rPr>
              <w:t>国家开放大学纸质试卷交接单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ign w:val="center"/>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日期：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ign w:val="center"/>
          </w:tcPr>
          <w:p>
            <w:pPr>
              <w:widowControl/>
              <w:shd w:val="clear" w:color="auto" w:fill="FFFFFF"/>
              <w:adjustRightInd w:val="0"/>
              <w:snapToGrid w:val="0"/>
              <w:jc w:val="both"/>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接收单位：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ign w:val="center"/>
          </w:tcPr>
          <w:p>
            <w:pPr>
              <w:widowControl/>
              <w:shd w:val="clear" w:color="auto" w:fill="FFFFFF"/>
              <w:adjustRightInd w:val="0"/>
              <w:snapToGrid w:val="0"/>
              <w:jc w:val="both"/>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接收地址：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ign w:val="center"/>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联系人（负责人）：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noWrap/>
            <w:vAlign w:val="top"/>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交</w:t>
            </w: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接</w:t>
            </w: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明</w:t>
            </w: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细</w:t>
            </w:r>
          </w:p>
        </w:tc>
        <w:tc>
          <w:tcPr>
            <w:tcW w:w="911" w:type="dxa"/>
            <w:noWrap/>
            <w:vAlign w:val="center"/>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877" w:type="dxa"/>
            <w:noWrap/>
            <w:vAlign w:val="center"/>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试卷归属</w:t>
            </w:r>
          </w:p>
        </w:tc>
        <w:tc>
          <w:tcPr>
            <w:tcW w:w="1908" w:type="dxa"/>
            <w:noWrap/>
            <w:vAlign w:val="center"/>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数量（袋/箱）</w:t>
            </w:r>
          </w:p>
        </w:tc>
        <w:tc>
          <w:tcPr>
            <w:tcW w:w="1867" w:type="dxa"/>
            <w:noWrap/>
            <w:vAlign w:val="center"/>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w:t>
            </w:r>
          </w:p>
        </w:tc>
        <w:tc>
          <w:tcPr>
            <w:tcW w:w="2877"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908"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867"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w:t>
            </w:r>
          </w:p>
        </w:tc>
        <w:tc>
          <w:tcPr>
            <w:tcW w:w="2877"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908"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867"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w:t>
            </w:r>
          </w:p>
        </w:tc>
        <w:tc>
          <w:tcPr>
            <w:tcW w:w="2877"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908"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867"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w:t>
            </w:r>
          </w:p>
        </w:tc>
        <w:tc>
          <w:tcPr>
            <w:tcW w:w="2877"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908"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867"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5</w:t>
            </w:r>
          </w:p>
        </w:tc>
        <w:tc>
          <w:tcPr>
            <w:tcW w:w="2877"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908"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867"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tc>
        <w:tc>
          <w:tcPr>
            <w:tcW w:w="911" w:type="dxa"/>
            <w:noWrap/>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6</w:t>
            </w:r>
          </w:p>
        </w:tc>
        <w:tc>
          <w:tcPr>
            <w:tcW w:w="2877"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908"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867"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noWrap w:val="0"/>
            <w:vAlign w:val="top"/>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tc>
        <w:tc>
          <w:tcPr>
            <w:tcW w:w="911" w:type="dxa"/>
            <w:tcBorders>
              <w:bottom w:val="single" w:color="auto" w:sz="4" w:space="0"/>
            </w:tcBorders>
            <w:noWrap/>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7</w:t>
            </w:r>
          </w:p>
        </w:tc>
        <w:tc>
          <w:tcPr>
            <w:tcW w:w="2877" w:type="dxa"/>
            <w:tcBorders>
              <w:bottom w:val="single" w:color="auto" w:sz="4" w:space="0"/>
            </w:tcBorders>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908" w:type="dxa"/>
            <w:tcBorders>
              <w:bottom w:val="single" w:color="auto" w:sz="4" w:space="0"/>
            </w:tcBorders>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867" w:type="dxa"/>
            <w:tcBorders>
              <w:bottom w:val="single" w:color="auto" w:sz="4" w:space="0"/>
            </w:tcBorders>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right w:val="single" w:color="auto" w:sz="4" w:space="0"/>
            </w:tcBorders>
            <w:noWrap w:val="0"/>
            <w:vAlign w:val="top"/>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tc>
        <w:tc>
          <w:tcPr>
            <w:tcW w:w="911"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8</w:t>
            </w:r>
          </w:p>
        </w:tc>
        <w:tc>
          <w:tcPr>
            <w:tcW w:w="2877"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908"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867"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right w:val="single" w:color="auto" w:sz="4" w:space="0"/>
            </w:tcBorders>
            <w:noWrap w:val="0"/>
            <w:vAlign w:val="top"/>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tc>
        <w:tc>
          <w:tcPr>
            <w:tcW w:w="911"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9</w:t>
            </w:r>
          </w:p>
        </w:tc>
        <w:tc>
          <w:tcPr>
            <w:tcW w:w="2877"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908"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867" w:type="dxa"/>
            <w:tcBorders>
              <w:top w:val="single" w:color="auto" w:sz="4" w:space="0"/>
              <w:left w:val="single" w:color="auto" w:sz="4" w:space="0"/>
              <w:bottom w:val="single" w:color="auto" w:sz="4" w:space="0"/>
              <w:right w:val="single" w:color="auto" w:sz="4" w:space="0"/>
            </w:tcBorders>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47" w:type="dxa"/>
            <w:gridSpan w:val="3"/>
            <w:noWrap w:val="0"/>
            <w:vAlign w:val="center"/>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合计</w:t>
            </w:r>
          </w:p>
        </w:tc>
        <w:tc>
          <w:tcPr>
            <w:tcW w:w="1908"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867" w:type="dxa"/>
            <w:noWrap/>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8522" w:type="dxa"/>
            <w:gridSpan w:val="5"/>
            <w:noWrap/>
            <w:vAlign w:val="top"/>
          </w:tcPr>
          <w:p>
            <w:pPr>
              <w:widowControl/>
              <w:shd w:val="clear" w:color="auto" w:fill="FFFFFF"/>
              <w:adjustRightInd w:val="0"/>
              <w:snapToGrid w:val="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移交单位及意见：</w:t>
            </w:r>
          </w:p>
          <w:p>
            <w:pPr>
              <w:widowControl/>
              <w:shd w:val="clear" w:color="auto" w:fill="FFFFFF"/>
              <w:adjustRightInd w:val="0"/>
              <w:snapToGrid w:val="0"/>
              <w:ind w:firstLine="3840" w:firstLineChars="160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移交人签字（两人）：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8522" w:type="dxa"/>
            <w:gridSpan w:val="5"/>
            <w:noWrap/>
            <w:vAlign w:val="top"/>
          </w:tcPr>
          <w:p>
            <w:pPr>
              <w:widowControl/>
              <w:shd w:val="clear" w:color="auto" w:fill="FFFFFF"/>
              <w:adjustRightInd w:val="0"/>
              <w:snapToGrid w:val="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接收单位及意见：</w:t>
            </w:r>
          </w:p>
          <w:p>
            <w:pPr>
              <w:widowControl/>
              <w:shd w:val="clear" w:color="auto" w:fill="FFFFFF"/>
              <w:adjustRightInd w:val="0"/>
              <w:snapToGrid w:val="0"/>
              <w:ind w:firstLine="3840" w:firstLineChars="160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接收人签字（两人）：</w:t>
            </w:r>
          </w:p>
        </w:tc>
      </w:tr>
    </w:tbl>
    <w:p>
      <w:pPr>
        <w:widowControl/>
        <w:spacing w:line="320" w:lineRule="exact"/>
        <w:rPr>
          <w:rFonts w:ascii="Times New Roman" w:hAnsi="Times New Roman"/>
          <w:bCs/>
          <w:kern w:val="0"/>
          <w:sz w:val="18"/>
          <w:szCs w:val="18"/>
        </w:rPr>
      </w:pPr>
      <w:r>
        <w:rPr>
          <w:rFonts w:hint="eastAsia" w:ascii="Times New Roman" w:hAnsi="Times New Roman"/>
          <w:bCs/>
          <w:kern w:val="0"/>
          <w:sz w:val="18"/>
          <w:szCs w:val="18"/>
        </w:rPr>
        <w:t>备注：1.此表用于印刷厂分发给分部（学院）或分部（学院）分发给分校（考点）或分校分发给考点的试卷交接单，一式两份，双方签字有效，押运方和接收方分别存档。2.试卷归属应填写“**分校（或考点）”。</w:t>
      </w:r>
    </w:p>
    <w:p>
      <w:pPr>
        <w:spacing w:line="500" w:lineRule="exact"/>
        <w:rPr>
          <w:rFonts w:ascii="Times New Roman" w:hAnsi="Times New Roman"/>
          <w:bCs/>
          <w:kern w:val="0"/>
          <w:szCs w:val="30"/>
        </w:rPr>
      </w:pPr>
      <w:r>
        <w:rPr>
          <w:rFonts w:ascii="Times New Roman" w:hAnsi="Times New Roman"/>
          <w:bCs/>
          <w:kern w:val="0"/>
          <w:szCs w:val="30"/>
        </w:rPr>
        <w:br w:type="page"/>
      </w:r>
      <w:r>
        <w:rPr>
          <w:rFonts w:hint="eastAsia" w:ascii="黑体" w:hAnsi="黑体" w:eastAsia="黑体" w:cs="黑体"/>
          <w:sz w:val="32"/>
          <w:szCs w:val="32"/>
        </w:rPr>
        <w:t>附件2</w:t>
      </w:r>
    </w:p>
    <w:p>
      <w:pPr>
        <w:widowControl/>
        <w:shd w:val="clear" w:color="auto" w:fill="FFFFFF"/>
        <w:adjustRightInd w:val="0"/>
        <w:snapToGrid w:val="0"/>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rPr>
        <w:t>国家开放大学纸质试卷入库清单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719"/>
        <w:gridCol w:w="1140"/>
        <w:gridCol w:w="1005"/>
        <w:gridCol w:w="945"/>
        <w:gridCol w:w="975"/>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22" w:type="dxa"/>
            <w:gridSpan w:val="8"/>
            <w:noWrap/>
            <w:vAlign w:val="center"/>
          </w:tcPr>
          <w:p>
            <w:pPr>
              <w:widowControl/>
              <w:shd w:val="clear" w:color="auto" w:fill="FFFFFF"/>
              <w:adjustRightInd w:val="0"/>
              <w:snapToGrid w:val="0"/>
              <w:jc w:val="center"/>
              <w:rPr>
                <w:rFonts w:hint="eastAsia" w:ascii="仿宋_GB2312" w:hAnsi="仿宋_GB2312" w:eastAsia="仿宋_GB2312" w:cs="仿宋_GB2312"/>
                <w:b/>
                <w:bCs/>
                <w:kern w:val="0"/>
                <w:szCs w:val="30"/>
              </w:rPr>
            </w:pPr>
            <w:r>
              <w:rPr>
                <w:rFonts w:hint="eastAsia" w:ascii="仿宋_GB2312" w:hAnsi="仿宋_GB2312" w:eastAsia="仿宋_GB2312" w:cs="仿宋_GB2312"/>
                <w:b/>
                <w:bCs/>
                <w:kern w:val="0"/>
                <w:sz w:val="30"/>
                <w:szCs w:val="30"/>
              </w:rPr>
              <w:t>国家开放大学</w:t>
            </w:r>
            <w:r>
              <w:rPr>
                <w:rFonts w:hint="eastAsia" w:ascii="仿宋_GB2312" w:hAnsi="仿宋_GB2312" w:eastAsia="仿宋_GB2312" w:cs="仿宋_GB2312"/>
                <w:b/>
                <w:bCs/>
                <w:kern w:val="0"/>
                <w:sz w:val="30"/>
                <w:szCs w:val="30"/>
                <w:u w:val="single"/>
              </w:rPr>
              <w:t>_</w:t>
            </w:r>
            <w:r>
              <w:rPr>
                <w:rFonts w:hint="eastAsia" w:ascii="仿宋_GB2312" w:hAnsi="仿宋_GB2312" w:eastAsia="仿宋_GB2312" w:cs="仿宋_GB2312"/>
                <w:b/>
                <w:bCs/>
                <w:kern w:val="0"/>
                <w:sz w:val="30"/>
                <w:szCs w:val="30"/>
                <w:u w:val="single"/>
                <w:lang w:val="en-US" w:eastAsia="zh-CN"/>
              </w:rPr>
              <w:t xml:space="preserve">山东 </w:t>
            </w:r>
            <w:r>
              <w:rPr>
                <w:rFonts w:hint="eastAsia" w:ascii="仿宋_GB2312" w:hAnsi="仿宋_GB2312" w:eastAsia="仿宋_GB2312" w:cs="仿宋_GB2312"/>
                <w:b/>
                <w:bCs/>
                <w:kern w:val="0"/>
                <w:sz w:val="30"/>
                <w:szCs w:val="30"/>
              </w:rPr>
              <w:t>分部</w:t>
            </w:r>
            <w:r>
              <w:rPr>
                <w:rFonts w:hint="eastAsia" w:ascii="仿宋_GB2312" w:hAnsi="仿宋_GB2312" w:eastAsia="仿宋_GB2312" w:cs="仿宋_GB2312"/>
                <w:b/>
                <w:bCs/>
                <w:kern w:val="0"/>
                <w:sz w:val="30"/>
                <w:szCs w:val="30"/>
                <w:u w:val="single"/>
              </w:rPr>
              <w:t>____</w:t>
            </w:r>
            <w:r>
              <w:rPr>
                <w:rFonts w:hint="eastAsia" w:ascii="仿宋_GB2312" w:hAnsi="仿宋_GB2312" w:eastAsia="仿宋_GB2312" w:cs="仿宋_GB2312"/>
                <w:b/>
                <w:bCs/>
                <w:kern w:val="0"/>
                <w:sz w:val="30"/>
                <w:szCs w:val="30"/>
              </w:rPr>
              <w:t>考点</w:t>
            </w:r>
            <w:r>
              <w:rPr>
                <w:rFonts w:hint="eastAsia" w:ascii="仿宋_GB2312" w:hAnsi="仿宋_GB2312" w:eastAsia="仿宋_GB2312" w:cs="仿宋_GB2312"/>
                <w:b/>
                <w:bCs/>
                <w:kern w:val="0"/>
                <w:sz w:val="30"/>
                <w:szCs w:val="30"/>
                <w:u w:val="single"/>
              </w:rPr>
              <w:t>____</w:t>
            </w:r>
            <w:r>
              <w:rPr>
                <w:rFonts w:hint="eastAsia" w:ascii="仿宋_GB2312" w:hAnsi="仿宋_GB2312" w:eastAsia="仿宋_GB2312" w:cs="仿宋_GB2312"/>
                <w:b/>
                <w:bCs/>
                <w:kern w:val="0"/>
                <w:sz w:val="30"/>
                <w:szCs w:val="30"/>
              </w:rPr>
              <w:t>学期纸质试卷入库清单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1134"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试卷号</w:t>
            </w:r>
          </w:p>
        </w:tc>
        <w:tc>
          <w:tcPr>
            <w:tcW w:w="1719"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试卷名称</w:t>
            </w:r>
          </w:p>
        </w:tc>
        <w:tc>
          <w:tcPr>
            <w:tcW w:w="1140"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31份装（袋）</w:t>
            </w:r>
          </w:p>
        </w:tc>
        <w:tc>
          <w:tcPr>
            <w:tcW w:w="100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26份装（袋）</w:t>
            </w:r>
          </w:p>
        </w:tc>
        <w:tc>
          <w:tcPr>
            <w:tcW w:w="94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11份装（袋）</w:t>
            </w:r>
          </w:p>
        </w:tc>
        <w:tc>
          <w:tcPr>
            <w:tcW w:w="9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5份装（袋）</w:t>
            </w:r>
          </w:p>
        </w:tc>
        <w:tc>
          <w:tcPr>
            <w:tcW w:w="929"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w:t>
            </w:r>
          </w:p>
        </w:tc>
        <w:tc>
          <w:tcPr>
            <w:tcW w:w="1134"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719"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140"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1005"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945"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975"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c>
          <w:tcPr>
            <w:tcW w:w="929" w:type="dxa"/>
            <w:noWrap w:val="0"/>
            <w:vAlign w:val="top"/>
          </w:tcPr>
          <w:p>
            <w:pPr>
              <w:widowControl/>
              <w:shd w:val="clear" w:color="auto" w:fill="FFFFFF"/>
              <w:adjustRightInd w:val="0"/>
              <w:snapToGrid w:val="0"/>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w:t>
            </w:r>
          </w:p>
        </w:tc>
        <w:tc>
          <w:tcPr>
            <w:tcW w:w="1134"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71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140"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00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4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7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2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w:t>
            </w:r>
          </w:p>
        </w:tc>
        <w:tc>
          <w:tcPr>
            <w:tcW w:w="1134"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71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140"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00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4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7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2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w:t>
            </w:r>
          </w:p>
        </w:tc>
        <w:tc>
          <w:tcPr>
            <w:tcW w:w="1134"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71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140"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00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4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7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2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5</w:t>
            </w:r>
          </w:p>
        </w:tc>
        <w:tc>
          <w:tcPr>
            <w:tcW w:w="1134"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71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140"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00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4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7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2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6</w:t>
            </w:r>
          </w:p>
        </w:tc>
        <w:tc>
          <w:tcPr>
            <w:tcW w:w="1134"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71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140"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00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4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7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2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7</w:t>
            </w:r>
          </w:p>
        </w:tc>
        <w:tc>
          <w:tcPr>
            <w:tcW w:w="1134"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71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140"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00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4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7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2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8</w:t>
            </w:r>
          </w:p>
        </w:tc>
        <w:tc>
          <w:tcPr>
            <w:tcW w:w="1134"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71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140"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00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4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75"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29" w:type="dxa"/>
            <w:noWrap w:val="0"/>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9</w:t>
            </w:r>
          </w:p>
        </w:tc>
        <w:tc>
          <w:tcPr>
            <w:tcW w:w="1134"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719"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140"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005"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45"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75"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29"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hd w:val="clear" w:color="auto" w:fill="FFFFFF"/>
              <w:adjustRightInd w:val="0"/>
              <w:snapToGrid w:val="0"/>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10</w:t>
            </w:r>
          </w:p>
        </w:tc>
        <w:tc>
          <w:tcPr>
            <w:tcW w:w="1134"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719"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140"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005"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45"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75"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929" w:type="dxa"/>
            <w:noWrap/>
            <w:vAlign w:val="top"/>
          </w:tcPr>
          <w:p>
            <w:pPr>
              <w:widowControl/>
              <w:shd w:val="clear" w:color="auto" w:fill="FFFFFF"/>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28" w:type="dxa"/>
            <w:gridSpan w:val="3"/>
            <w:noWrap/>
            <w:vAlign w:val="top"/>
          </w:tcPr>
          <w:p>
            <w:pPr>
              <w:widowControl/>
              <w:shd w:val="clear" w:color="auto" w:fill="FFFFFF"/>
              <w:adjustRightInd w:val="0"/>
              <w:snapToGrid w:val="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w:t>
            </w:r>
          </w:p>
        </w:tc>
        <w:tc>
          <w:tcPr>
            <w:tcW w:w="1140" w:type="dxa"/>
            <w:noWrap/>
            <w:vAlign w:val="top"/>
          </w:tcPr>
          <w:p>
            <w:pPr>
              <w:widowControl/>
              <w:shd w:val="clear" w:color="auto" w:fill="FFFFFF"/>
              <w:adjustRightInd w:val="0"/>
              <w:snapToGrid w:val="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005" w:type="dxa"/>
            <w:noWrap/>
            <w:vAlign w:val="top"/>
          </w:tcPr>
          <w:p>
            <w:pPr>
              <w:widowControl/>
              <w:shd w:val="clear" w:color="auto" w:fill="FFFFFF"/>
              <w:adjustRightInd w:val="0"/>
              <w:snapToGrid w:val="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945" w:type="dxa"/>
            <w:noWrap/>
            <w:vAlign w:val="top"/>
          </w:tcPr>
          <w:p>
            <w:pPr>
              <w:widowControl/>
              <w:shd w:val="clear" w:color="auto" w:fill="FFFFFF"/>
              <w:adjustRightInd w:val="0"/>
              <w:snapToGrid w:val="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975" w:type="dxa"/>
            <w:noWrap/>
            <w:vAlign w:val="top"/>
          </w:tcPr>
          <w:p>
            <w:pPr>
              <w:widowControl/>
              <w:shd w:val="clear" w:color="auto" w:fill="FFFFFF"/>
              <w:adjustRightInd w:val="0"/>
              <w:snapToGrid w:val="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929" w:type="dxa"/>
            <w:noWrap/>
            <w:vAlign w:val="top"/>
          </w:tcPr>
          <w:p>
            <w:pPr>
              <w:widowControl/>
              <w:shd w:val="clear" w:color="auto" w:fill="FFFFFF"/>
              <w:adjustRightInd w:val="0"/>
              <w:snapToGrid w:val="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trPr>
        <w:tc>
          <w:tcPr>
            <w:tcW w:w="8522" w:type="dxa"/>
            <w:gridSpan w:val="8"/>
            <w:noWrap/>
            <w:vAlign w:val="top"/>
          </w:tcPr>
          <w:p>
            <w:pPr>
              <w:widowControl/>
              <w:shd w:val="clear" w:color="auto" w:fill="FFFFFF"/>
              <w:adjustRightInd w:val="0"/>
              <w:snapToGrid w:val="0"/>
              <w:spacing w:line="240" w:lineRule="auto"/>
              <w:rPr>
                <w:rFonts w:hint="eastAsia"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入库情况描述：</w:t>
            </w:r>
            <w:r>
              <w:rPr>
                <w:rFonts w:hint="eastAsia" w:ascii="仿宋_GB2312" w:hAnsi="仿宋_GB2312" w:eastAsia="仿宋_GB2312" w:cs="仿宋_GB2312"/>
                <w:bCs/>
                <w:kern w:val="0"/>
                <w:sz w:val="18"/>
                <w:szCs w:val="18"/>
              </w:rPr>
              <w:t>（对试卷数量是否准确、试卷袋包装是否完好、是否按照考试时间单元转入保密柜（做到不同考试时间不混装）、保密柜密封条张贴是否规范等情况做简要概述）</w:t>
            </w:r>
          </w:p>
          <w:p>
            <w:pPr>
              <w:widowControl/>
              <w:shd w:val="clear" w:color="auto" w:fill="FFFFFF"/>
              <w:adjustRightInd w:val="0"/>
              <w:snapToGrid w:val="0"/>
              <w:rPr>
                <w:rFonts w:hint="eastAsia" w:ascii="仿宋_GB2312" w:hAnsi="仿宋_GB2312" w:eastAsia="仿宋_GB2312" w:cs="仿宋_GB2312"/>
                <w:b/>
                <w:bCs/>
                <w:kern w:val="0"/>
                <w:sz w:val="24"/>
                <w:szCs w:val="24"/>
              </w:rPr>
            </w:pPr>
          </w:p>
          <w:p>
            <w:pPr>
              <w:widowControl/>
              <w:shd w:val="clear" w:color="auto" w:fill="FFFFFF"/>
              <w:adjustRightInd w:val="0"/>
              <w:snapToGrid w:val="0"/>
              <w:rPr>
                <w:rFonts w:hint="eastAsia" w:ascii="仿宋_GB2312" w:hAnsi="仿宋_GB2312" w:eastAsia="仿宋_GB2312" w:cs="仿宋_GB2312"/>
                <w:b/>
                <w:bCs/>
                <w:kern w:val="0"/>
                <w:sz w:val="24"/>
                <w:szCs w:val="24"/>
              </w:rPr>
            </w:pPr>
          </w:p>
          <w:p>
            <w:pPr>
              <w:widowControl/>
              <w:shd w:val="clear" w:color="auto" w:fill="FFFFFF"/>
              <w:adjustRightInd w:val="0"/>
              <w:snapToGrid w:val="0"/>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8522" w:type="dxa"/>
            <w:gridSpan w:val="8"/>
            <w:noWrap/>
            <w:vAlign w:val="center"/>
          </w:tcPr>
          <w:p>
            <w:pPr>
              <w:widowControl/>
              <w:shd w:val="clear" w:color="auto" w:fill="FFFFFF"/>
              <w:adjustRightInd w:val="0"/>
              <w:snapToGrid w:val="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入库时间：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522" w:type="dxa"/>
            <w:gridSpan w:val="8"/>
            <w:noWrap/>
            <w:vAlign w:val="center"/>
          </w:tcPr>
          <w:p>
            <w:pPr>
              <w:widowControl/>
              <w:shd w:val="clear" w:color="auto" w:fill="FFFFFF"/>
              <w:adjustRightInd w:val="0"/>
              <w:snapToGrid w:val="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卷库保管员（试卷接收人）签字：</w:t>
            </w:r>
          </w:p>
        </w:tc>
      </w:tr>
    </w:tbl>
    <w:p>
      <w:pPr>
        <w:widowControl/>
        <w:spacing w:line="240" w:lineRule="auto"/>
        <w:jc w:val="left"/>
        <w:rPr>
          <w:rFonts w:hint="eastAsia" w:ascii="Times New Roman" w:hAnsi="Times New Roman"/>
          <w:bCs/>
          <w:kern w:val="0"/>
          <w:sz w:val="18"/>
          <w:szCs w:val="18"/>
        </w:rPr>
      </w:pPr>
      <w:r>
        <w:rPr>
          <w:rFonts w:hint="eastAsia" w:ascii="Times New Roman" w:hAnsi="Times New Roman"/>
          <w:bCs/>
          <w:kern w:val="0"/>
          <w:sz w:val="18"/>
          <w:szCs w:val="18"/>
        </w:rPr>
        <w:t>备注：此表为各单位入保密室中保密柜的交接单。</w:t>
      </w:r>
    </w:p>
    <w:p>
      <w:pPr>
        <w:widowControl/>
        <w:spacing w:line="240" w:lineRule="auto"/>
        <w:jc w:val="left"/>
        <w:rPr>
          <w:rFonts w:ascii="Times New Roman" w:hAnsi="Times New Roman"/>
          <w:bCs/>
          <w:kern w:val="0"/>
          <w:sz w:val="24"/>
          <w:szCs w:val="24"/>
        </w:rPr>
        <w:sectPr>
          <w:footerReference r:id="rId3" w:type="default"/>
          <w:pgSz w:w="11906" w:h="16838"/>
          <w:pgMar w:top="1814" w:right="1361" w:bottom="1417" w:left="1587" w:header="851" w:footer="992" w:gutter="0"/>
          <w:cols w:space="720" w:num="1"/>
          <w:docGrid w:type="lines" w:linePitch="312" w:charSpace="0"/>
        </w:sectPr>
      </w:pPr>
    </w:p>
    <w:p>
      <w:pPr>
        <w:spacing w:line="500" w:lineRule="exact"/>
        <w:rPr>
          <w:rFonts w:ascii="Times New Roman" w:hAnsi="Times New Roman"/>
          <w:bCs/>
          <w:kern w:val="0"/>
          <w:szCs w:val="30"/>
        </w:rPr>
      </w:pPr>
      <w:r>
        <w:rPr>
          <w:rFonts w:hint="eastAsia" w:ascii="黑体" w:hAnsi="黑体" w:eastAsia="黑体" w:cs="黑体"/>
          <w:sz w:val="32"/>
          <w:szCs w:val="32"/>
        </w:rPr>
        <w:t>附件3</w:t>
      </w:r>
    </w:p>
    <w:p>
      <w:pPr>
        <w:widowControl/>
        <w:spacing w:line="240" w:lineRule="auto"/>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rPr>
        <w:t>保密室试卷出入库记录表（考点）</w:t>
      </w:r>
    </w:p>
    <w:tbl>
      <w:tblPr>
        <w:tblStyle w:val="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27"/>
        <w:gridCol w:w="1418"/>
        <w:gridCol w:w="1559"/>
        <w:gridCol w:w="1276"/>
        <w:gridCol w:w="1547"/>
        <w:gridCol w:w="2182"/>
        <w:gridCol w:w="1472"/>
        <w:gridCol w:w="140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60" w:type="dxa"/>
            <w:gridSpan w:val="10"/>
            <w:noWrap/>
            <w:vAlign w:val="center"/>
          </w:tcPr>
          <w:p>
            <w:pPr>
              <w:widowControl/>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u w:val="single"/>
              </w:rPr>
              <w:t xml:space="preserve">        </w:t>
            </w:r>
            <w:r>
              <w:rPr>
                <w:rFonts w:hint="eastAsia" w:ascii="仿宋_GB2312" w:hAnsi="仿宋_GB2312" w:eastAsia="仿宋_GB2312" w:cs="仿宋_GB2312"/>
                <w:b/>
                <w:bCs/>
                <w:kern w:val="0"/>
                <w:sz w:val="21"/>
                <w:szCs w:val="21"/>
              </w:rPr>
              <w:t>学期国家开放大学</w:t>
            </w:r>
            <w:r>
              <w:rPr>
                <w:rFonts w:hint="eastAsia" w:ascii="仿宋_GB2312" w:hAnsi="仿宋_GB2312" w:eastAsia="仿宋_GB2312" w:cs="仿宋_GB2312"/>
                <w:b/>
                <w:bCs/>
                <w:kern w:val="0"/>
                <w:sz w:val="21"/>
                <w:szCs w:val="21"/>
                <w:u w:val="single"/>
              </w:rPr>
              <w:t xml:space="preserve"> </w:t>
            </w:r>
            <w:r>
              <w:rPr>
                <w:rFonts w:hint="eastAsia" w:ascii="仿宋_GB2312" w:hAnsi="仿宋_GB2312" w:eastAsia="仿宋_GB2312" w:cs="仿宋_GB2312"/>
                <w:b/>
                <w:bCs/>
                <w:kern w:val="0"/>
                <w:sz w:val="21"/>
                <w:szCs w:val="21"/>
                <w:u w:val="single"/>
                <w:lang w:val="en-US" w:eastAsia="zh-CN"/>
              </w:rPr>
              <w:t>山东</w:t>
            </w:r>
            <w:r>
              <w:rPr>
                <w:rFonts w:hint="eastAsia" w:ascii="仿宋_GB2312" w:hAnsi="仿宋_GB2312" w:eastAsia="仿宋_GB2312" w:cs="仿宋_GB2312"/>
                <w:b/>
                <w:bCs/>
                <w:kern w:val="0"/>
                <w:sz w:val="21"/>
                <w:szCs w:val="21"/>
                <w:u w:val="single"/>
              </w:rPr>
              <w:t xml:space="preserve"> </w:t>
            </w:r>
            <w:r>
              <w:rPr>
                <w:rFonts w:hint="eastAsia" w:ascii="仿宋_GB2312" w:hAnsi="仿宋_GB2312" w:eastAsia="仿宋_GB2312" w:cs="仿宋_GB2312"/>
                <w:b/>
                <w:bCs/>
                <w:kern w:val="0"/>
                <w:sz w:val="21"/>
                <w:szCs w:val="21"/>
              </w:rPr>
              <w:t>分部</w:t>
            </w:r>
            <w:r>
              <w:rPr>
                <w:rFonts w:hint="eastAsia" w:ascii="仿宋_GB2312" w:hAnsi="仿宋_GB2312" w:eastAsia="仿宋_GB2312" w:cs="仿宋_GB2312"/>
                <w:b/>
                <w:bCs/>
                <w:kern w:val="0"/>
                <w:sz w:val="21"/>
                <w:szCs w:val="21"/>
                <w:u w:val="single"/>
              </w:rPr>
              <w:t xml:space="preserve">                     </w:t>
            </w:r>
            <w:r>
              <w:rPr>
                <w:rFonts w:hint="eastAsia" w:ascii="仿宋_GB2312" w:hAnsi="仿宋_GB2312" w:eastAsia="仿宋_GB2312" w:cs="仿宋_GB2312"/>
                <w:b/>
                <w:bCs/>
                <w:kern w:val="0"/>
                <w:sz w:val="21"/>
                <w:szCs w:val="21"/>
              </w:rPr>
              <w:t>考点纸质试卷出入库记录表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noWrap/>
            <w:vAlign w:val="center"/>
          </w:tcPr>
          <w:p>
            <w:pPr>
              <w:widowControl/>
              <w:spacing w:line="240" w:lineRule="auto"/>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序号</w:t>
            </w:r>
          </w:p>
        </w:tc>
        <w:tc>
          <w:tcPr>
            <w:tcW w:w="927" w:type="dxa"/>
            <w:noWrap/>
            <w:vAlign w:val="center"/>
          </w:tcPr>
          <w:p>
            <w:pPr>
              <w:widowControl/>
              <w:spacing w:line="240" w:lineRule="auto"/>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试卷号</w:t>
            </w:r>
          </w:p>
        </w:tc>
        <w:tc>
          <w:tcPr>
            <w:tcW w:w="1418" w:type="dxa"/>
            <w:noWrap/>
            <w:vAlign w:val="center"/>
          </w:tcPr>
          <w:p>
            <w:pPr>
              <w:widowControl/>
              <w:spacing w:line="240" w:lineRule="auto"/>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试卷名称</w:t>
            </w:r>
          </w:p>
        </w:tc>
        <w:tc>
          <w:tcPr>
            <w:tcW w:w="1559" w:type="dxa"/>
            <w:noWrap/>
            <w:vAlign w:val="center"/>
          </w:tcPr>
          <w:p>
            <w:pPr>
              <w:widowControl/>
              <w:spacing w:line="240" w:lineRule="auto"/>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数量（袋/份）</w:t>
            </w:r>
          </w:p>
        </w:tc>
        <w:tc>
          <w:tcPr>
            <w:tcW w:w="1276" w:type="dxa"/>
            <w:noWrap/>
            <w:vAlign w:val="center"/>
          </w:tcPr>
          <w:p>
            <w:pPr>
              <w:widowControl/>
              <w:spacing w:line="240" w:lineRule="auto"/>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取卷人签字</w:t>
            </w:r>
          </w:p>
        </w:tc>
        <w:tc>
          <w:tcPr>
            <w:tcW w:w="1547" w:type="dxa"/>
            <w:noWrap/>
            <w:vAlign w:val="center"/>
          </w:tcPr>
          <w:p>
            <w:pPr>
              <w:widowControl/>
              <w:spacing w:line="240" w:lineRule="auto"/>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取卷时间</w:t>
            </w:r>
          </w:p>
        </w:tc>
        <w:tc>
          <w:tcPr>
            <w:tcW w:w="2182" w:type="dxa"/>
            <w:noWrap/>
            <w:vAlign w:val="center"/>
          </w:tcPr>
          <w:p>
            <w:pPr>
              <w:widowControl/>
              <w:spacing w:line="240" w:lineRule="auto"/>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卷库保管员出库签字</w:t>
            </w:r>
          </w:p>
        </w:tc>
        <w:tc>
          <w:tcPr>
            <w:tcW w:w="1472" w:type="dxa"/>
            <w:noWrap/>
            <w:vAlign w:val="center"/>
          </w:tcPr>
          <w:p>
            <w:pPr>
              <w:widowControl/>
              <w:spacing w:line="240" w:lineRule="auto"/>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还卷人签字</w:t>
            </w:r>
          </w:p>
        </w:tc>
        <w:tc>
          <w:tcPr>
            <w:tcW w:w="1405" w:type="dxa"/>
            <w:noWrap/>
            <w:vAlign w:val="center"/>
          </w:tcPr>
          <w:p>
            <w:pPr>
              <w:widowControl/>
              <w:spacing w:line="240" w:lineRule="auto"/>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还卷时间</w:t>
            </w:r>
          </w:p>
        </w:tc>
        <w:tc>
          <w:tcPr>
            <w:tcW w:w="1899" w:type="dxa"/>
            <w:noWrap/>
            <w:vAlign w:val="center"/>
          </w:tcPr>
          <w:p>
            <w:pPr>
              <w:widowControl/>
              <w:spacing w:line="240" w:lineRule="auto"/>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保管员入库签字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noWrap/>
            <w:vAlign w:val="center"/>
          </w:tcPr>
          <w:p>
            <w:pPr>
              <w:widowControl/>
              <w:spacing w:line="240" w:lineRule="auto"/>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w:t>
            </w:r>
          </w:p>
        </w:tc>
        <w:tc>
          <w:tcPr>
            <w:tcW w:w="92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18"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59"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276"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4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218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7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05"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899"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noWrap/>
            <w:vAlign w:val="center"/>
          </w:tcPr>
          <w:p>
            <w:pPr>
              <w:widowControl/>
              <w:spacing w:line="240" w:lineRule="auto"/>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2</w:t>
            </w:r>
          </w:p>
        </w:tc>
        <w:tc>
          <w:tcPr>
            <w:tcW w:w="92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18"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59"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276"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4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218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7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05"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899"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noWrap/>
            <w:vAlign w:val="center"/>
          </w:tcPr>
          <w:p>
            <w:pPr>
              <w:widowControl/>
              <w:spacing w:line="240" w:lineRule="auto"/>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w:t>
            </w:r>
          </w:p>
        </w:tc>
        <w:tc>
          <w:tcPr>
            <w:tcW w:w="92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18"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59"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276"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4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218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7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05"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899"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noWrap/>
            <w:vAlign w:val="center"/>
          </w:tcPr>
          <w:p>
            <w:pPr>
              <w:widowControl/>
              <w:spacing w:line="240" w:lineRule="auto"/>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4</w:t>
            </w:r>
          </w:p>
        </w:tc>
        <w:tc>
          <w:tcPr>
            <w:tcW w:w="92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18"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59"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276"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4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218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7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05"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899"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noWrap/>
            <w:vAlign w:val="center"/>
          </w:tcPr>
          <w:p>
            <w:pPr>
              <w:widowControl/>
              <w:spacing w:line="240" w:lineRule="auto"/>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5</w:t>
            </w:r>
          </w:p>
        </w:tc>
        <w:tc>
          <w:tcPr>
            <w:tcW w:w="92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18"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59"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276"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4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218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7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05"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899"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noWrap/>
            <w:vAlign w:val="center"/>
          </w:tcPr>
          <w:p>
            <w:pPr>
              <w:widowControl/>
              <w:spacing w:line="240" w:lineRule="auto"/>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6</w:t>
            </w:r>
          </w:p>
        </w:tc>
        <w:tc>
          <w:tcPr>
            <w:tcW w:w="92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18"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59"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276"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4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218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7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05"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899"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noWrap/>
            <w:vAlign w:val="center"/>
          </w:tcPr>
          <w:p>
            <w:pPr>
              <w:widowControl/>
              <w:spacing w:line="240" w:lineRule="auto"/>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7</w:t>
            </w:r>
          </w:p>
        </w:tc>
        <w:tc>
          <w:tcPr>
            <w:tcW w:w="92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18"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59"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276"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4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218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7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05"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899"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noWrap/>
            <w:vAlign w:val="center"/>
          </w:tcPr>
          <w:p>
            <w:pPr>
              <w:widowControl/>
              <w:spacing w:line="240" w:lineRule="auto"/>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8</w:t>
            </w:r>
          </w:p>
        </w:tc>
        <w:tc>
          <w:tcPr>
            <w:tcW w:w="92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18"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59"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276"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4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218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7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05"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899"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noWrap/>
            <w:vAlign w:val="center"/>
          </w:tcPr>
          <w:p>
            <w:pPr>
              <w:widowControl/>
              <w:spacing w:line="240" w:lineRule="auto"/>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9</w:t>
            </w:r>
          </w:p>
        </w:tc>
        <w:tc>
          <w:tcPr>
            <w:tcW w:w="92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18"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59"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276"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4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218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7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05"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899"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775" w:type="dxa"/>
            <w:noWrap/>
            <w:vAlign w:val="center"/>
          </w:tcPr>
          <w:p>
            <w:pPr>
              <w:widowControl/>
              <w:spacing w:line="240" w:lineRule="auto"/>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10</w:t>
            </w:r>
          </w:p>
        </w:tc>
        <w:tc>
          <w:tcPr>
            <w:tcW w:w="92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18"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59"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276"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547"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218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72" w:type="dxa"/>
            <w:noWrap/>
            <w:vAlign w:val="top"/>
          </w:tcPr>
          <w:p>
            <w:pPr>
              <w:widowControl/>
              <w:spacing w:line="240" w:lineRule="auto"/>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w:t>
            </w:r>
          </w:p>
        </w:tc>
        <w:tc>
          <w:tcPr>
            <w:tcW w:w="1405"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c>
          <w:tcPr>
            <w:tcW w:w="1899" w:type="dxa"/>
            <w:noWrap/>
            <w:vAlign w:val="top"/>
          </w:tcPr>
          <w:p>
            <w:pPr>
              <w:widowControl/>
              <w:spacing w:line="240" w:lineRule="auto"/>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bl>
    <w:p>
      <w:pPr>
        <w:widowControl/>
        <w:spacing w:line="240" w:lineRule="auto"/>
        <w:jc w:val="left"/>
        <w:rPr>
          <w:rFonts w:hint="eastAsia" w:ascii="Times New Roman" w:hAnsi="Times New Roman"/>
          <w:bCs/>
          <w:kern w:val="0"/>
          <w:sz w:val="18"/>
          <w:szCs w:val="18"/>
        </w:rPr>
      </w:pPr>
      <w:r>
        <w:rPr>
          <w:rFonts w:hint="eastAsia" w:ascii="Times New Roman" w:hAnsi="Times New Roman"/>
          <w:bCs/>
          <w:kern w:val="0"/>
          <w:sz w:val="18"/>
          <w:szCs w:val="18"/>
        </w:rPr>
        <w:t>备注：1.此表为考试期间考务人员将试卷运送至考务办公室（考试值班室）前，与卷库保管员（值班人员）在保密室内履行出入库交接。</w:t>
      </w:r>
    </w:p>
    <w:p>
      <w:pPr>
        <w:widowControl/>
        <w:numPr>
          <w:ilvl w:val="0"/>
          <w:numId w:val="0"/>
        </w:numPr>
        <w:spacing w:line="240" w:lineRule="auto"/>
        <w:ind w:firstLine="540" w:firstLineChars="300"/>
        <w:jc w:val="left"/>
        <w:rPr>
          <w:rFonts w:hint="eastAsia" w:ascii="Times New Roman" w:hAnsi="Times New Roman"/>
          <w:bCs/>
          <w:kern w:val="0"/>
          <w:sz w:val="18"/>
          <w:szCs w:val="18"/>
        </w:rPr>
      </w:pPr>
      <w:r>
        <w:rPr>
          <w:rFonts w:hint="eastAsia"/>
          <w:bCs/>
          <w:kern w:val="0"/>
          <w:sz w:val="18"/>
          <w:szCs w:val="18"/>
          <w:lang w:val="en-US" w:eastAsia="zh-CN"/>
        </w:rPr>
        <w:t>2.</w:t>
      </w:r>
      <w:r>
        <w:rPr>
          <w:rFonts w:hint="eastAsia" w:ascii="Times New Roman" w:hAnsi="Times New Roman"/>
          <w:bCs/>
          <w:kern w:val="0"/>
          <w:sz w:val="18"/>
          <w:szCs w:val="18"/>
        </w:rPr>
        <w:t>考务人员须为本单位正式职工。</w:t>
      </w:r>
    </w:p>
    <w:p>
      <w:pPr>
        <w:widowControl/>
        <w:numPr>
          <w:ilvl w:val="0"/>
          <w:numId w:val="0"/>
        </w:numPr>
        <w:spacing w:line="240" w:lineRule="auto"/>
        <w:ind w:firstLine="540" w:firstLineChars="300"/>
        <w:jc w:val="left"/>
        <w:rPr>
          <w:rFonts w:hint="eastAsia" w:ascii="Times New Roman" w:hAnsi="Times New Roman"/>
          <w:bCs/>
          <w:kern w:val="0"/>
          <w:sz w:val="18"/>
          <w:szCs w:val="18"/>
        </w:rPr>
      </w:pPr>
      <w:r>
        <w:rPr>
          <w:rFonts w:hint="eastAsia"/>
          <w:bCs/>
          <w:kern w:val="0"/>
          <w:sz w:val="18"/>
          <w:szCs w:val="18"/>
          <w:lang w:val="en-US" w:eastAsia="zh-CN"/>
        </w:rPr>
        <w:t>3.</w:t>
      </w:r>
      <w:r>
        <w:rPr>
          <w:rFonts w:hint="eastAsia" w:ascii="Times New Roman" w:hAnsi="Times New Roman"/>
          <w:bCs/>
          <w:kern w:val="0"/>
          <w:sz w:val="18"/>
          <w:szCs w:val="18"/>
        </w:rPr>
        <w:t>监考人员不得参与此环节领卷。</w:t>
      </w:r>
    </w:p>
    <w:p>
      <w:pPr>
        <w:spacing w:line="500" w:lineRule="exact"/>
        <w:rPr>
          <w:rFonts w:ascii="Times New Roman" w:hAnsi="Times New Roman"/>
          <w:bCs/>
          <w:kern w:val="0"/>
          <w:szCs w:val="30"/>
        </w:rPr>
      </w:pPr>
      <w:r>
        <w:rPr>
          <w:rFonts w:ascii="Times New Roman" w:hAnsi="Times New Roman"/>
          <w:bCs/>
          <w:kern w:val="0"/>
          <w:szCs w:val="30"/>
        </w:rPr>
        <w:br w:type="page"/>
      </w:r>
      <w:r>
        <w:rPr>
          <w:rFonts w:hint="eastAsia" w:ascii="黑体" w:hAnsi="黑体" w:eastAsia="黑体" w:cs="黑体"/>
          <w:sz w:val="32"/>
          <w:szCs w:val="32"/>
        </w:rPr>
        <w:t>附件4</w:t>
      </w:r>
    </w:p>
    <w:p>
      <w:pPr>
        <w:widowControl/>
        <w:spacing w:line="240" w:lineRule="auto"/>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rPr>
        <w:t>考务办公室（考试值班室）试卷分发登记表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273"/>
        <w:gridCol w:w="1843"/>
        <w:gridCol w:w="851"/>
        <w:gridCol w:w="1134"/>
        <w:gridCol w:w="1275"/>
        <w:gridCol w:w="1843"/>
        <w:gridCol w:w="1701"/>
        <w:gridCol w:w="170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149" w:type="dxa"/>
            <w:gridSpan w:val="10"/>
            <w:noWrap/>
            <w:vAlign w:val="top"/>
          </w:tcPr>
          <w:p>
            <w:pPr>
              <w:widowControl/>
              <w:spacing w:line="240" w:lineRule="auto"/>
              <w:jc w:val="center"/>
              <w:rPr>
                <w:rFonts w:hint="eastAsia" w:ascii="仿宋_GB2312" w:hAnsi="仿宋_GB2312" w:eastAsia="仿宋_GB2312" w:cs="仿宋_GB2312"/>
                <w:b/>
                <w:bCs/>
                <w:kern w:val="0"/>
                <w:szCs w:val="30"/>
              </w:rPr>
            </w:pPr>
            <w:r>
              <w:rPr>
                <w:rFonts w:hint="eastAsia" w:ascii="仿宋_GB2312" w:hAnsi="仿宋_GB2312" w:eastAsia="仿宋_GB2312" w:cs="仿宋_GB2312"/>
                <w:b/>
                <w:bCs/>
                <w:kern w:val="0"/>
                <w:sz w:val="30"/>
                <w:szCs w:val="30"/>
              </w:rPr>
              <w:t>国家开放大学试卷分发登记表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149" w:type="dxa"/>
            <w:gridSpan w:val="10"/>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u w:val="single"/>
              </w:rPr>
              <w:t xml:space="preserve"> </w:t>
            </w:r>
            <w:r>
              <w:rPr>
                <w:rFonts w:hint="eastAsia" w:ascii="仿宋_GB2312" w:hAnsi="仿宋_GB2312" w:eastAsia="仿宋_GB2312" w:cs="仿宋_GB2312"/>
                <w:b/>
                <w:bCs/>
                <w:kern w:val="0"/>
                <w:sz w:val="24"/>
                <w:szCs w:val="24"/>
                <w:u w:val="single"/>
                <w:lang w:val="en-US" w:eastAsia="zh-CN"/>
              </w:rPr>
              <w:t xml:space="preserve"> 山东</w:t>
            </w:r>
            <w:r>
              <w:rPr>
                <w:rFonts w:hint="eastAsia" w:ascii="仿宋_GB2312" w:hAnsi="仿宋_GB2312" w:eastAsia="仿宋_GB2312" w:cs="仿宋_GB2312"/>
                <w:b/>
                <w:bCs/>
                <w:kern w:val="0"/>
                <w:sz w:val="24"/>
                <w:szCs w:val="24"/>
                <w:u w:val="single"/>
              </w:rPr>
              <w:t xml:space="preserve">  </w:t>
            </w:r>
            <w:r>
              <w:rPr>
                <w:rFonts w:hint="eastAsia" w:ascii="仿宋_GB2312" w:hAnsi="仿宋_GB2312" w:eastAsia="仿宋_GB2312" w:cs="仿宋_GB2312"/>
                <w:b/>
                <w:bCs/>
                <w:kern w:val="0"/>
                <w:sz w:val="24"/>
                <w:szCs w:val="24"/>
              </w:rPr>
              <w:t>分部</w:t>
            </w:r>
            <w:r>
              <w:rPr>
                <w:rFonts w:hint="eastAsia" w:ascii="仿宋_GB2312" w:hAnsi="仿宋_GB2312" w:eastAsia="仿宋_GB2312" w:cs="仿宋_GB2312"/>
                <w:b/>
                <w:bCs/>
                <w:kern w:val="0"/>
                <w:sz w:val="24"/>
                <w:szCs w:val="24"/>
                <w:u w:val="single"/>
              </w:rPr>
              <w:t xml:space="preserve">             </w:t>
            </w:r>
            <w:r>
              <w:rPr>
                <w:rFonts w:hint="eastAsia" w:ascii="仿宋_GB2312" w:hAnsi="仿宋_GB2312" w:eastAsia="仿宋_GB2312" w:cs="仿宋_GB2312"/>
                <w:b/>
                <w:bCs/>
                <w:kern w:val="0"/>
                <w:sz w:val="24"/>
                <w:szCs w:val="24"/>
              </w:rPr>
              <w:t>考点  日期：  年  月  日  时间：（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6" w:type="dxa"/>
            <w:vMerge w:val="restart"/>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1273" w:type="dxa"/>
            <w:vMerge w:val="restart"/>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试卷号</w:t>
            </w:r>
          </w:p>
        </w:tc>
        <w:tc>
          <w:tcPr>
            <w:tcW w:w="1843" w:type="dxa"/>
            <w:vMerge w:val="restart"/>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试卷名称</w:t>
            </w:r>
          </w:p>
        </w:tc>
        <w:tc>
          <w:tcPr>
            <w:tcW w:w="851" w:type="dxa"/>
            <w:vMerge w:val="restart"/>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试卷份数</w:t>
            </w:r>
          </w:p>
        </w:tc>
        <w:tc>
          <w:tcPr>
            <w:tcW w:w="1134" w:type="dxa"/>
            <w:vMerge w:val="restart"/>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考场号</w:t>
            </w:r>
          </w:p>
        </w:tc>
        <w:tc>
          <w:tcPr>
            <w:tcW w:w="3118" w:type="dxa"/>
            <w:gridSpan w:val="2"/>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试卷发放情况</w:t>
            </w:r>
          </w:p>
        </w:tc>
        <w:tc>
          <w:tcPr>
            <w:tcW w:w="3402" w:type="dxa"/>
            <w:gridSpan w:val="2"/>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试卷回收情况</w:t>
            </w:r>
          </w:p>
        </w:tc>
        <w:tc>
          <w:tcPr>
            <w:tcW w:w="992" w:type="dxa"/>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6" w:type="dxa"/>
            <w:vMerge w:val="continue"/>
            <w:noWrap w:val="0"/>
            <w:vAlign w:val="center"/>
          </w:tcPr>
          <w:p>
            <w:pPr>
              <w:widowControl/>
              <w:spacing w:line="240" w:lineRule="auto"/>
              <w:jc w:val="center"/>
              <w:rPr>
                <w:rFonts w:hint="eastAsia" w:ascii="仿宋_GB2312" w:hAnsi="仿宋_GB2312" w:eastAsia="仿宋_GB2312" w:cs="仿宋_GB2312"/>
                <w:b/>
                <w:bCs/>
                <w:kern w:val="0"/>
                <w:sz w:val="24"/>
                <w:szCs w:val="24"/>
              </w:rPr>
            </w:pPr>
          </w:p>
        </w:tc>
        <w:tc>
          <w:tcPr>
            <w:tcW w:w="1273" w:type="dxa"/>
            <w:vMerge w:val="continue"/>
            <w:noWrap w:val="0"/>
            <w:vAlign w:val="center"/>
          </w:tcPr>
          <w:p>
            <w:pPr>
              <w:widowControl/>
              <w:spacing w:line="240" w:lineRule="auto"/>
              <w:jc w:val="center"/>
              <w:rPr>
                <w:rFonts w:hint="eastAsia" w:ascii="仿宋_GB2312" w:hAnsi="仿宋_GB2312" w:eastAsia="仿宋_GB2312" w:cs="仿宋_GB2312"/>
                <w:b/>
                <w:bCs/>
                <w:kern w:val="0"/>
                <w:sz w:val="24"/>
                <w:szCs w:val="24"/>
              </w:rPr>
            </w:pPr>
          </w:p>
        </w:tc>
        <w:tc>
          <w:tcPr>
            <w:tcW w:w="1843" w:type="dxa"/>
            <w:vMerge w:val="continue"/>
            <w:noWrap w:val="0"/>
            <w:vAlign w:val="center"/>
          </w:tcPr>
          <w:p>
            <w:pPr>
              <w:widowControl/>
              <w:spacing w:line="240" w:lineRule="auto"/>
              <w:jc w:val="center"/>
              <w:rPr>
                <w:rFonts w:hint="eastAsia" w:ascii="仿宋_GB2312" w:hAnsi="仿宋_GB2312" w:eastAsia="仿宋_GB2312" w:cs="仿宋_GB2312"/>
                <w:b/>
                <w:bCs/>
                <w:kern w:val="0"/>
                <w:sz w:val="24"/>
                <w:szCs w:val="24"/>
              </w:rPr>
            </w:pPr>
          </w:p>
        </w:tc>
        <w:tc>
          <w:tcPr>
            <w:tcW w:w="851" w:type="dxa"/>
            <w:vMerge w:val="continue"/>
            <w:noWrap w:val="0"/>
            <w:vAlign w:val="center"/>
          </w:tcPr>
          <w:p>
            <w:pPr>
              <w:widowControl/>
              <w:spacing w:line="240" w:lineRule="auto"/>
              <w:jc w:val="center"/>
              <w:rPr>
                <w:rFonts w:hint="eastAsia" w:ascii="仿宋_GB2312" w:hAnsi="仿宋_GB2312" w:eastAsia="仿宋_GB2312" w:cs="仿宋_GB2312"/>
                <w:b/>
                <w:bCs/>
                <w:kern w:val="0"/>
                <w:sz w:val="24"/>
                <w:szCs w:val="24"/>
              </w:rPr>
            </w:pPr>
          </w:p>
        </w:tc>
        <w:tc>
          <w:tcPr>
            <w:tcW w:w="1134" w:type="dxa"/>
            <w:vMerge w:val="continue"/>
            <w:noWrap w:val="0"/>
            <w:vAlign w:val="center"/>
          </w:tcPr>
          <w:p>
            <w:pPr>
              <w:widowControl/>
              <w:spacing w:line="240" w:lineRule="auto"/>
              <w:jc w:val="center"/>
              <w:rPr>
                <w:rFonts w:hint="eastAsia" w:ascii="仿宋_GB2312" w:hAnsi="仿宋_GB2312" w:eastAsia="仿宋_GB2312" w:cs="仿宋_GB2312"/>
                <w:b/>
                <w:bCs/>
                <w:kern w:val="0"/>
                <w:sz w:val="24"/>
                <w:szCs w:val="24"/>
              </w:rPr>
            </w:pPr>
          </w:p>
        </w:tc>
        <w:tc>
          <w:tcPr>
            <w:tcW w:w="1275" w:type="dxa"/>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领取时间</w:t>
            </w:r>
          </w:p>
        </w:tc>
        <w:tc>
          <w:tcPr>
            <w:tcW w:w="1843" w:type="dxa"/>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领卷人签字</w:t>
            </w:r>
          </w:p>
        </w:tc>
        <w:tc>
          <w:tcPr>
            <w:tcW w:w="1701" w:type="dxa"/>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回收时间</w:t>
            </w:r>
          </w:p>
        </w:tc>
        <w:tc>
          <w:tcPr>
            <w:tcW w:w="1701" w:type="dxa"/>
            <w:noWrap/>
            <w:vAlign w:val="center"/>
          </w:tcPr>
          <w:p>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还卷人签字</w:t>
            </w:r>
          </w:p>
        </w:tc>
        <w:tc>
          <w:tcPr>
            <w:tcW w:w="992" w:type="dxa"/>
            <w:noWrap w:val="0"/>
            <w:vAlign w:val="center"/>
          </w:tcPr>
          <w:p>
            <w:pPr>
              <w:widowControl/>
              <w:spacing w:line="240" w:lineRule="auto"/>
              <w:jc w:val="center"/>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36" w:type="dxa"/>
            <w:noWrap/>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w:t>
            </w:r>
          </w:p>
        </w:tc>
        <w:tc>
          <w:tcPr>
            <w:tcW w:w="127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85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134"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275"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992" w:type="dxa"/>
            <w:noWrap/>
            <w:vAlign w:val="top"/>
          </w:tcPr>
          <w:p>
            <w:pPr>
              <w:widowControl/>
              <w:spacing w:line="240" w:lineRule="auto"/>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36" w:type="dxa"/>
            <w:noWrap/>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w:t>
            </w:r>
          </w:p>
        </w:tc>
        <w:tc>
          <w:tcPr>
            <w:tcW w:w="127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85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134"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275"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992" w:type="dxa"/>
            <w:noWrap/>
            <w:vAlign w:val="top"/>
          </w:tcPr>
          <w:p>
            <w:pPr>
              <w:widowControl/>
              <w:spacing w:line="240" w:lineRule="auto"/>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36" w:type="dxa"/>
            <w:noWrap/>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w:t>
            </w:r>
          </w:p>
        </w:tc>
        <w:tc>
          <w:tcPr>
            <w:tcW w:w="127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85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134"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275"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992" w:type="dxa"/>
            <w:noWrap/>
            <w:vAlign w:val="top"/>
          </w:tcPr>
          <w:p>
            <w:pPr>
              <w:widowControl/>
              <w:spacing w:line="240" w:lineRule="auto"/>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536" w:type="dxa"/>
            <w:noWrap/>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w:t>
            </w:r>
          </w:p>
        </w:tc>
        <w:tc>
          <w:tcPr>
            <w:tcW w:w="127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85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134"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275"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992" w:type="dxa"/>
            <w:noWrap/>
            <w:vAlign w:val="top"/>
          </w:tcPr>
          <w:p>
            <w:pPr>
              <w:widowControl/>
              <w:spacing w:line="240" w:lineRule="auto"/>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36" w:type="dxa"/>
            <w:noWrap/>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5</w:t>
            </w:r>
          </w:p>
        </w:tc>
        <w:tc>
          <w:tcPr>
            <w:tcW w:w="127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85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134"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275"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992" w:type="dxa"/>
            <w:noWrap/>
            <w:vAlign w:val="top"/>
          </w:tcPr>
          <w:p>
            <w:pPr>
              <w:widowControl/>
              <w:spacing w:line="240" w:lineRule="auto"/>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536" w:type="dxa"/>
            <w:noWrap/>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6</w:t>
            </w:r>
          </w:p>
        </w:tc>
        <w:tc>
          <w:tcPr>
            <w:tcW w:w="127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85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134"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275"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992" w:type="dxa"/>
            <w:noWrap/>
            <w:vAlign w:val="top"/>
          </w:tcPr>
          <w:p>
            <w:pPr>
              <w:widowControl/>
              <w:spacing w:line="240" w:lineRule="auto"/>
              <w:jc w:val="center"/>
              <w:rPr>
                <w:rFonts w:hint="eastAsia" w:ascii="仿宋_GB2312" w:hAnsi="仿宋_GB2312" w:eastAsia="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36" w:type="dxa"/>
            <w:noWrap/>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7</w:t>
            </w:r>
          </w:p>
        </w:tc>
        <w:tc>
          <w:tcPr>
            <w:tcW w:w="127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85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134"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275"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843"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1701" w:type="dxa"/>
            <w:noWrap/>
            <w:vAlign w:val="top"/>
          </w:tcPr>
          <w:p>
            <w:pPr>
              <w:widowControl/>
              <w:spacing w:line="240" w:lineRule="auto"/>
              <w:jc w:val="center"/>
              <w:rPr>
                <w:rFonts w:hint="eastAsia" w:ascii="仿宋_GB2312" w:hAnsi="仿宋_GB2312" w:eastAsia="仿宋_GB2312" w:cs="仿宋_GB2312"/>
                <w:bCs/>
                <w:kern w:val="0"/>
                <w:sz w:val="24"/>
                <w:szCs w:val="24"/>
              </w:rPr>
            </w:pPr>
          </w:p>
        </w:tc>
        <w:tc>
          <w:tcPr>
            <w:tcW w:w="992" w:type="dxa"/>
            <w:noWrap/>
            <w:vAlign w:val="top"/>
          </w:tcPr>
          <w:p>
            <w:pPr>
              <w:widowControl/>
              <w:spacing w:line="240" w:lineRule="auto"/>
              <w:jc w:val="center"/>
              <w:rPr>
                <w:rFonts w:hint="eastAsia" w:ascii="仿宋_GB2312" w:hAnsi="仿宋_GB2312" w:eastAsia="仿宋_GB2312" w:cs="仿宋_GB2312"/>
                <w:bCs/>
                <w:kern w:val="0"/>
                <w:sz w:val="24"/>
                <w:szCs w:val="24"/>
              </w:rPr>
            </w:pPr>
          </w:p>
        </w:tc>
      </w:tr>
    </w:tbl>
    <w:p>
      <w:pPr>
        <w:widowControl/>
        <w:spacing w:line="240" w:lineRule="auto"/>
        <w:jc w:val="left"/>
        <w:rPr>
          <w:rFonts w:hint="eastAsia" w:ascii="Times New Roman" w:hAnsi="Times New Roman"/>
          <w:bCs/>
          <w:kern w:val="0"/>
          <w:sz w:val="18"/>
          <w:szCs w:val="18"/>
        </w:rPr>
      </w:pPr>
      <w:r>
        <w:rPr>
          <w:rFonts w:hint="eastAsia" w:ascii="仿宋_GB2312" w:hAnsi="仿宋_GB2312" w:eastAsia="仿宋_GB2312" w:cs="仿宋_GB2312"/>
          <w:bCs/>
          <w:kern w:val="0"/>
          <w:sz w:val="30"/>
          <w:szCs w:val="30"/>
        </w:rPr>
        <w:t>发卷人：</w:t>
      </w:r>
      <w:r>
        <w:rPr>
          <w:rFonts w:hint="eastAsia" w:ascii="仿宋_GB2312" w:hAnsi="仿宋_GB2312" w:eastAsia="仿宋_GB2312" w:cs="仿宋_GB2312"/>
          <w:bCs/>
          <w:kern w:val="0"/>
          <w:sz w:val="30"/>
          <w:szCs w:val="30"/>
        </w:rPr>
        <w:tab/>
      </w:r>
      <w:r>
        <w:rPr>
          <w:rFonts w:hint="eastAsia" w:ascii="仿宋_GB2312" w:hAnsi="仿宋_GB2312" w:eastAsia="仿宋_GB2312" w:cs="仿宋_GB2312"/>
          <w:bCs/>
          <w:kern w:val="0"/>
          <w:sz w:val="30"/>
          <w:szCs w:val="30"/>
        </w:rPr>
        <w:tab/>
      </w:r>
      <w:r>
        <w:rPr>
          <w:rFonts w:hint="eastAsia" w:ascii="仿宋_GB2312" w:hAnsi="仿宋_GB2312" w:eastAsia="仿宋_GB2312" w:cs="仿宋_GB2312"/>
          <w:bCs/>
          <w:kern w:val="0"/>
          <w:sz w:val="30"/>
          <w:szCs w:val="30"/>
        </w:rPr>
        <w:tab/>
      </w:r>
      <w:r>
        <w:rPr>
          <w:rFonts w:hint="eastAsia" w:ascii="仿宋_GB2312" w:hAnsi="仿宋_GB2312" w:eastAsia="仿宋_GB2312" w:cs="仿宋_GB2312"/>
          <w:bCs/>
          <w:kern w:val="0"/>
          <w:sz w:val="30"/>
          <w:szCs w:val="30"/>
        </w:rPr>
        <w:tab/>
      </w:r>
      <w:r>
        <w:rPr>
          <w:rFonts w:hint="eastAsia" w:ascii="仿宋_GB2312" w:hAnsi="仿宋_GB2312" w:eastAsia="仿宋_GB2312" w:cs="仿宋_GB2312"/>
          <w:bCs/>
          <w:kern w:val="0"/>
          <w:sz w:val="30"/>
          <w:szCs w:val="30"/>
        </w:rPr>
        <w:tab/>
      </w:r>
      <w:r>
        <w:rPr>
          <w:rFonts w:hint="eastAsia" w:ascii="仿宋_GB2312" w:hAnsi="仿宋_GB2312" w:eastAsia="仿宋_GB2312" w:cs="仿宋_GB2312"/>
          <w:bCs/>
          <w:kern w:val="0"/>
          <w:sz w:val="30"/>
          <w:szCs w:val="30"/>
        </w:rPr>
        <w:tab/>
      </w:r>
      <w:r>
        <w:rPr>
          <w:rFonts w:hint="eastAsia" w:ascii="仿宋_GB2312" w:hAnsi="仿宋_GB2312" w:eastAsia="仿宋_GB2312" w:cs="仿宋_GB2312"/>
          <w:bCs/>
          <w:kern w:val="0"/>
          <w:sz w:val="30"/>
          <w:szCs w:val="30"/>
        </w:rPr>
        <w:tab/>
      </w:r>
      <w:r>
        <w:rPr>
          <w:rFonts w:hint="eastAsia" w:ascii="仿宋_GB2312" w:hAnsi="仿宋_GB2312" w:eastAsia="仿宋_GB2312" w:cs="仿宋_GB2312"/>
          <w:bCs/>
          <w:kern w:val="0"/>
          <w:sz w:val="30"/>
          <w:szCs w:val="30"/>
        </w:rPr>
        <w:tab/>
      </w:r>
      <w:r>
        <w:rPr>
          <w:rFonts w:hint="eastAsia" w:ascii="仿宋_GB2312" w:hAnsi="仿宋_GB2312" w:eastAsia="仿宋_GB2312" w:cs="仿宋_GB2312"/>
          <w:bCs/>
          <w:kern w:val="0"/>
          <w:sz w:val="30"/>
          <w:szCs w:val="30"/>
        </w:rPr>
        <w:t xml:space="preserve">                  收卷人：</w:t>
      </w:r>
    </w:p>
    <w:p>
      <w:pPr>
        <w:widowControl/>
        <w:spacing w:line="240" w:lineRule="auto"/>
        <w:jc w:val="left"/>
        <w:rPr>
          <w:rFonts w:hint="eastAsia" w:ascii="Times New Roman" w:hAnsi="Times New Roman"/>
          <w:bCs/>
          <w:kern w:val="0"/>
          <w:szCs w:val="30"/>
        </w:rPr>
      </w:pPr>
      <w:r>
        <w:rPr>
          <w:rFonts w:hint="eastAsia" w:ascii="Times New Roman" w:hAnsi="Times New Roman"/>
          <w:bCs/>
          <w:kern w:val="0"/>
          <w:sz w:val="18"/>
          <w:szCs w:val="18"/>
        </w:rPr>
        <w:t>备注：此表为考试当天，试卷经由考务办公室（考试值班室）分发至考场及回收的试卷交接单。</w:t>
      </w:r>
    </w:p>
    <w:p>
      <w:pPr>
        <w:widowControl/>
        <w:spacing w:line="240" w:lineRule="auto"/>
        <w:jc w:val="left"/>
        <w:rPr>
          <w:rFonts w:ascii="Times New Roman" w:hAnsi="Times New Roman"/>
          <w:bCs/>
          <w:kern w:val="0"/>
          <w:szCs w:val="30"/>
        </w:rPr>
        <w:sectPr>
          <w:pgSz w:w="16838" w:h="11906" w:orient="landscape"/>
          <w:pgMar w:top="1797" w:right="1440" w:bottom="1797" w:left="1440" w:header="851" w:footer="992" w:gutter="0"/>
          <w:cols w:space="720" w:num="1"/>
          <w:docGrid w:type="lines" w:linePitch="312" w:charSpace="0"/>
        </w:sectPr>
      </w:pPr>
    </w:p>
    <w:p>
      <w:pPr>
        <w:spacing w:line="500" w:lineRule="exact"/>
        <w:rPr>
          <w:rFonts w:ascii="Times New Roman" w:hAnsi="Times New Roman"/>
          <w:bCs/>
          <w:kern w:val="0"/>
          <w:szCs w:val="30"/>
        </w:rPr>
      </w:pPr>
      <w:r>
        <w:rPr>
          <w:rFonts w:hint="eastAsia" w:ascii="黑体" w:hAnsi="黑体" w:eastAsia="黑体" w:cs="黑体"/>
          <w:sz w:val="32"/>
          <w:szCs w:val="32"/>
        </w:rPr>
        <w:t>附件5</w:t>
      </w:r>
    </w:p>
    <w:p>
      <w:pPr>
        <w:widowControl/>
        <w:spacing w:line="240" w:lineRule="auto"/>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rPr>
        <w:t>保密室值班记录</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540"/>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897" w:type="dxa"/>
            <w:gridSpan w:val="3"/>
            <w:noWrap/>
            <w:vAlign w:val="center"/>
          </w:tcPr>
          <w:p>
            <w:pPr>
              <w:widowControl/>
              <w:shd w:val="clear" w:color="auto" w:fill="FFFFFF"/>
              <w:adjustRightInd w:val="0"/>
              <w:snapToGrid w:val="0"/>
              <w:jc w:val="center"/>
              <w:rPr>
                <w:rFonts w:ascii="Times New Roman" w:hAnsi="Times New Roman"/>
                <w:b/>
                <w:bCs/>
                <w:kern w:val="0"/>
                <w:szCs w:val="30"/>
              </w:rPr>
            </w:pPr>
            <w:r>
              <w:rPr>
                <w:rFonts w:hint="eastAsia" w:ascii="Times New Roman" w:hAnsi="Times New Roman"/>
                <w:b/>
                <w:bCs/>
                <w:kern w:val="0"/>
                <w:sz w:val="30"/>
                <w:szCs w:val="30"/>
              </w:rPr>
              <w:t>_</w:t>
            </w:r>
            <w:r>
              <w:rPr>
                <w:rFonts w:ascii="Times New Roman" w:hAnsi="Times New Roman"/>
                <w:b/>
                <w:bCs/>
                <w:kern w:val="0"/>
                <w:sz w:val="30"/>
                <w:szCs w:val="30"/>
                <w:u w:val="none"/>
              </w:rPr>
              <w:t>__</w:t>
            </w:r>
            <w:r>
              <w:rPr>
                <w:rFonts w:hint="eastAsia"/>
                <w:b/>
                <w:bCs/>
                <w:kern w:val="0"/>
                <w:sz w:val="30"/>
                <w:szCs w:val="30"/>
                <w:u w:val="single"/>
                <w:lang w:val="en-US" w:eastAsia="zh-CN"/>
              </w:rPr>
              <w:t>山东</w:t>
            </w:r>
            <w:r>
              <w:rPr>
                <w:rFonts w:ascii="Times New Roman" w:hAnsi="Times New Roman"/>
                <w:b/>
                <w:bCs/>
                <w:kern w:val="0"/>
                <w:sz w:val="30"/>
                <w:szCs w:val="30"/>
                <w:u w:val="none"/>
              </w:rPr>
              <w:t>__</w:t>
            </w:r>
            <w:r>
              <w:rPr>
                <w:rFonts w:hint="eastAsia" w:ascii="Times New Roman" w:hAnsi="Times New Roman"/>
                <w:b/>
                <w:bCs/>
                <w:kern w:val="0"/>
                <w:sz w:val="30"/>
                <w:szCs w:val="30"/>
              </w:rPr>
              <w:t>分部</w:t>
            </w:r>
            <w:r>
              <w:rPr>
                <w:rFonts w:hint="eastAsia" w:ascii="Times New Roman" w:hAnsi="Times New Roman"/>
                <w:b/>
                <w:bCs/>
                <w:kern w:val="0"/>
                <w:sz w:val="30"/>
                <w:szCs w:val="30"/>
                <w:u w:val="single"/>
              </w:rPr>
              <w:t xml:space="preserve">           </w:t>
            </w:r>
            <w:r>
              <w:rPr>
                <w:rFonts w:hint="eastAsia" w:ascii="Times New Roman" w:hAnsi="Times New Roman"/>
                <w:b/>
                <w:bCs/>
                <w:kern w:val="0"/>
                <w:sz w:val="30"/>
                <w:szCs w:val="30"/>
              </w:rPr>
              <w:t>考点保密室值班记录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3" w:type="dxa"/>
            <w:vMerge w:val="restart"/>
            <w:noWrap w:val="0"/>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值班情况记录表</w:t>
            </w:r>
          </w:p>
        </w:tc>
        <w:tc>
          <w:tcPr>
            <w:tcW w:w="2540" w:type="dxa"/>
            <w:vMerge w:val="restart"/>
            <w:noWrap/>
            <w:vAlign w:val="center"/>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日间</w:t>
            </w:r>
          </w:p>
        </w:tc>
        <w:tc>
          <w:tcPr>
            <w:tcW w:w="5824" w:type="dxa"/>
            <w:noWrap/>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值班时间：    年  月  日  时至   日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533" w:type="dxa"/>
            <w:vMerge w:val="continue"/>
            <w:noWrap w:val="0"/>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p>
        </w:tc>
        <w:tc>
          <w:tcPr>
            <w:tcW w:w="2540" w:type="dxa"/>
            <w:vMerge w:val="continue"/>
            <w:noWrap w:val="0"/>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p>
        </w:tc>
        <w:tc>
          <w:tcPr>
            <w:tcW w:w="5824" w:type="dxa"/>
            <w:noWrap/>
            <w:vAlign w:val="center"/>
          </w:tcPr>
          <w:p>
            <w:pPr>
              <w:widowControl/>
              <w:shd w:val="clear" w:color="auto" w:fill="FFFFFF"/>
              <w:adjustRightInd w:val="0"/>
              <w:snapToGrid w:val="0"/>
              <w:jc w:val="both"/>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3" w:type="dxa"/>
            <w:vMerge w:val="continue"/>
            <w:noWrap w:val="0"/>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p>
        </w:tc>
        <w:tc>
          <w:tcPr>
            <w:tcW w:w="2540" w:type="dxa"/>
            <w:noWrap/>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交班人签字：</w:t>
            </w:r>
          </w:p>
        </w:tc>
        <w:tc>
          <w:tcPr>
            <w:tcW w:w="5824" w:type="dxa"/>
            <w:noWrap/>
            <w:vAlign w:val="center"/>
          </w:tcPr>
          <w:p>
            <w:pPr>
              <w:widowControl/>
              <w:shd w:val="clear" w:color="auto" w:fill="FFFFFF"/>
              <w:adjustRightInd w:val="0"/>
              <w:snapToGrid w:val="0"/>
              <w:jc w:val="both"/>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33" w:type="dxa"/>
            <w:vMerge w:val="continue"/>
            <w:noWrap w:val="0"/>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p>
        </w:tc>
        <w:tc>
          <w:tcPr>
            <w:tcW w:w="2540" w:type="dxa"/>
            <w:noWrap/>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接班人签字：</w:t>
            </w:r>
          </w:p>
        </w:tc>
        <w:tc>
          <w:tcPr>
            <w:tcW w:w="5824" w:type="dxa"/>
            <w:noWrap/>
            <w:vAlign w:val="center"/>
          </w:tcPr>
          <w:p>
            <w:pPr>
              <w:widowControl/>
              <w:shd w:val="clear" w:color="auto" w:fill="FFFFFF"/>
              <w:adjustRightInd w:val="0"/>
              <w:snapToGrid w:val="0"/>
              <w:jc w:val="both"/>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3" w:type="dxa"/>
            <w:vMerge w:val="continue"/>
            <w:noWrap w:val="0"/>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p>
        </w:tc>
        <w:tc>
          <w:tcPr>
            <w:tcW w:w="2540" w:type="dxa"/>
            <w:vMerge w:val="restart"/>
            <w:noWrap/>
            <w:vAlign w:val="center"/>
          </w:tcPr>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p>
          <w:p>
            <w:pPr>
              <w:widowControl/>
              <w:shd w:val="clear" w:color="auto" w:fill="FFFFFF"/>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夜间</w:t>
            </w:r>
          </w:p>
        </w:tc>
        <w:tc>
          <w:tcPr>
            <w:tcW w:w="5824" w:type="dxa"/>
            <w:noWrap/>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值班时间：    年  月  日  时至    日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trPr>
        <w:tc>
          <w:tcPr>
            <w:tcW w:w="533" w:type="dxa"/>
            <w:vMerge w:val="continue"/>
            <w:noWrap w:val="0"/>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p>
        </w:tc>
        <w:tc>
          <w:tcPr>
            <w:tcW w:w="2540" w:type="dxa"/>
            <w:vMerge w:val="continue"/>
            <w:noWrap w:val="0"/>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p>
        </w:tc>
        <w:tc>
          <w:tcPr>
            <w:tcW w:w="5824" w:type="dxa"/>
            <w:noWrap/>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3" w:type="dxa"/>
            <w:vMerge w:val="continue"/>
            <w:noWrap w:val="0"/>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p>
        </w:tc>
        <w:tc>
          <w:tcPr>
            <w:tcW w:w="2540" w:type="dxa"/>
            <w:noWrap/>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交班人签字：</w:t>
            </w:r>
          </w:p>
        </w:tc>
        <w:tc>
          <w:tcPr>
            <w:tcW w:w="5824" w:type="dxa"/>
            <w:noWrap/>
            <w:vAlign w:val="center"/>
          </w:tcPr>
          <w:p>
            <w:pPr>
              <w:widowControl/>
              <w:shd w:val="clear" w:color="auto" w:fill="FFFFFF"/>
              <w:adjustRightInd w:val="0"/>
              <w:snapToGrid w:val="0"/>
              <w:jc w:val="both"/>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3" w:type="dxa"/>
            <w:vMerge w:val="continue"/>
            <w:noWrap w:val="0"/>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p>
        </w:tc>
        <w:tc>
          <w:tcPr>
            <w:tcW w:w="2540" w:type="dxa"/>
            <w:noWrap/>
            <w:vAlign w:val="center"/>
          </w:tcPr>
          <w:p>
            <w:pPr>
              <w:widowControl/>
              <w:shd w:val="clear" w:color="auto" w:fill="FFFFFF"/>
              <w:adjustRightInd w:val="0"/>
              <w:snapToGrid w:val="0"/>
              <w:jc w:val="both"/>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接班人签字：</w:t>
            </w:r>
          </w:p>
        </w:tc>
        <w:tc>
          <w:tcPr>
            <w:tcW w:w="5824" w:type="dxa"/>
            <w:noWrap/>
            <w:vAlign w:val="center"/>
          </w:tcPr>
          <w:p>
            <w:pPr>
              <w:widowControl/>
              <w:shd w:val="clear" w:color="auto" w:fill="FFFFFF"/>
              <w:adjustRightInd w:val="0"/>
              <w:snapToGrid w:val="0"/>
              <w:jc w:val="both"/>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897" w:type="dxa"/>
            <w:gridSpan w:val="3"/>
            <w:noWrap/>
            <w:vAlign w:val="center"/>
          </w:tcPr>
          <w:p>
            <w:pPr>
              <w:widowControl/>
              <w:shd w:val="clear" w:color="auto" w:fill="FFFFFF"/>
              <w:adjustRightInd w:val="0"/>
              <w:snapToGrid w:val="0"/>
              <w:jc w:val="both"/>
              <w:rPr>
                <w:rFonts w:hint="eastAsia" w:ascii="仿宋_GB2312" w:hAnsi="仿宋_GB2312" w:eastAsia="仿宋_GB2312" w:cs="仿宋_GB2312"/>
                <w:bCs/>
                <w:kern w:val="0"/>
                <w:sz w:val="24"/>
                <w:szCs w:val="24"/>
              </w:rPr>
            </w:pPr>
            <w:r>
              <w:rPr>
                <w:rFonts w:hint="eastAsia" w:ascii="仿宋_GB2312" w:hAnsi="仿宋_GB2312" w:eastAsia="仿宋_GB2312" w:cs="仿宋_GB2312"/>
                <w:b/>
                <w:bCs/>
                <w:kern w:val="0"/>
                <w:sz w:val="24"/>
                <w:szCs w:val="24"/>
              </w:rPr>
              <w:t>负责人签字：</w:t>
            </w:r>
            <w:r>
              <w:rPr>
                <w:rFonts w:hint="eastAsia" w:ascii="仿宋_GB2312" w:hAnsi="仿宋_GB2312" w:eastAsia="仿宋_GB2312" w:cs="仿宋_GB2312"/>
                <w:bCs/>
                <w:kern w:val="0"/>
                <w:sz w:val="24"/>
                <w:szCs w:val="24"/>
              </w:rPr>
              <w:t>　</w:t>
            </w:r>
          </w:p>
        </w:tc>
      </w:tr>
    </w:tbl>
    <w:p>
      <w:pPr>
        <w:widowControl/>
        <w:shd w:val="clear" w:color="auto" w:fill="FFFFFF"/>
        <w:adjustRightInd w:val="0"/>
        <w:snapToGrid w:val="0"/>
        <w:spacing w:line="240" w:lineRule="auto"/>
        <w:rPr>
          <w:rFonts w:hint="eastAsia" w:ascii="Times New Roman" w:hAnsi="Times New Roman"/>
          <w:bCs/>
          <w:kern w:val="0"/>
          <w:sz w:val="18"/>
          <w:szCs w:val="18"/>
        </w:rPr>
      </w:pPr>
      <w:r>
        <w:rPr>
          <w:rFonts w:hint="eastAsia" w:ascii="Times New Roman" w:hAnsi="Times New Roman"/>
          <w:bCs/>
          <w:kern w:val="0"/>
          <w:sz w:val="18"/>
          <w:szCs w:val="18"/>
        </w:rPr>
        <w:t>备注：1.此表为保密室值班人员填写。</w:t>
      </w:r>
    </w:p>
    <w:p>
      <w:pPr>
        <w:widowControl/>
        <w:shd w:val="clear" w:color="auto" w:fill="FFFFFF"/>
        <w:adjustRightInd w:val="0"/>
        <w:snapToGrid w:val="0"/>
        <w:spacing w:line="240" w:lineRule="auto"/>
        <w:ind w:firstLine="540" w:firstLineChars="300"/>
        <w:rPr>
          <w:rFonts w:hint="eastAsia" w:ascii="Times New Roman" w:hAnsi="Times New Roman"/>
          <w:bCs/>
          <w:kern w:val="0"/>
          <w:sz w:val="18"/>
          <w:szCs w:val="18"/>
        </w:rPr>
      </w:pPr>
      <w:r>
        <w:rPr>
          <w:rFonts w:hint="eastAsia" w:ascii="Times New Roman" w:hAnsi="Times New Roman"/>
          <w:bCs/>
          <w:kern w:val="0"/>
          <w:sz w:val="18"/>
          <w:szCs w:val="18"/>
        </w:rPr>
        <w:t>2. 情况记录包括何人何故何时到达、何时离开试卷保密室；试卷及物品出库、入库，以及其他异常情况记录。</w:t>
      </w:r>
    </w:p>
    <w:p>
      <w:pPr>
        <w:rPr>
          <w:rFonts w:hint="eastAsia"/>
          <w:lang w:val="en-US" w:eastAsia="zh-CN"/>
        </w:rPr>
      </w:pPr>
    </w:p>
    <w:sectPr>
      <w:pgSz w:w="11906" w:h="16838"/>
      <w:pgMar w:top="1814" w:right="1361"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7F650"/>
    <w:multiLevelType w:val="singleLevel"/>
    <w:tmpl w:val="CB97F650"/>
    <w:lvl w:ilvl="0" w:tentative="0">
      <w:start w:val="1"/>
      <w:numFmt w:val="chineseCounting"/>
      <w:suff w:val="nothing"/>
      <w:lvlText w:val="（%1）"/>
      <w:lvlJc w:val="left"/>
      <w:rPr>
        <w:rFonts w:hint="eastAsia"/>
      </w:rPr>
    </w:lvl>
  </w:abstractNum>
  <w:abstractNum w:abstractNumId="1">
    <w:nsid w:val="6D4F8F98"/>
    <w:multiLevelType w:val="singleLevel"/>
    <w:tmpl w:val="6D4F8F9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TVkZmI5ZDMzZDA1YTdmMzlmMmE1ZWYzNDZhMWQifQ=="/>
  </w:docVars>
  <w:rsids>
    <w:rsidRoot w:val="00000000"/>
    <w:rsid w:val="012B0079"/>
    <w:rsid w:val="078D7EC3"/>
    <w:rsid w:val="091A7E4E"/>
    <w:rsid w:val="0DFE6F54"/>
    <w:rsid w:val="123D3153"/>
    <w:rsid w:val="21246357"/>
    <w:rsid w:val="27570A5D"/>
    <w:rsid w:val="298045ED"/>
    <w:rsid w:val="29A231C2"/>
    <w:rsid w:val="32DB1233"/>
    <w:rsid w:val="36DF6623"/>
    <w:rsid w:val="467317C3"/>
    <w:rsid w:val="47A71864"/>
    <w:rsid w:val="4F7F76BE"/>
    <w:rsid w:val="62D554A3"/>
    <w:rsid w:val="64025D70"/>
    <w:rsid w:val="6CAA3CC8"/>
    <w:rsid w:val="73505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2023-11-29T01:44:00Z</dcterms:created>
  <dc:creator>Administrator</dc:creator>
  <cp:lastModifiedBy>小石头儿</cp:lastModifiedBy>
  <cp:lastPrinted>2023-11-29T02:30:00Z</cp:lastPrinted>
  <dcterms:modified xsi:type="dcterms:W3CDTF">2023-11-29T02:44:09Z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23B08BAD2B6C429CB08666466B7BF01A_12</vt:lpwstr>
  </property>
</Properties>
</file>